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24" w:rsidRPr="00CF6F94" w:rsidRDefault="0062768E" w:rsidP="00C130F7">
      <w:pPr>
        <w:jc w:val="center"/>
        <w:rPr>
          <w:rFonts w:asciiTheme="minorHAnsi" w:hAnsiTheme="minorHAnsi"/>
          <w:sz w:val="22"/>
          <w:szCs w:val="22"/>
        </w:rPr>
      </w:pPr>
      <w:bookmarkStart w:id="0" w:name="_GoBack"/>
      <w:bookmarkEnd w:id="0"/>
      <w:r>
        <w:rPr>
          <w:rFonts w:asciiTheme="minorHAnsi" w:hAnsiTheme="minorHAnsi"/>
          <w:sz w:val="22"/>
          <w:szCs w:val="22"/>
        </w:rPr>
        <w:t xml:space="preserve">(                                         </w:t>
      </w:r>
      <w:r w:rsidR="00CB3524" w:rsidRPr="00CF6F94">
        <w:rPr>
          <w:rFonts w:asciiTheme="minorHAnsi" w:hAnsiTheme="minorHAnsi"/>
          <w:sz w:val="22"/>
          <w:szCs w:val="22"/>
        </w:rPr>
        <w:t>)</w:t>
      </w:r>
    </w:p>
    <w:p w:rsidR="009F1F09" w:rsidRPr="00CF6F94" w:rsidRDefault="009F1F09" w:rsidP="00C130F7">
      <w:pPr>
        <w:rPr>
          <w:rFonts w:asciiTheme="minorHAnsi" w:hAnsiTheme="minorHAnsi"/>
          <w:sz w:val="22"/>
          <w:szCs w:val="22"/>
        </w:rPr>
      </w:pPr>
    </w:p>
    <w:p w:rsidR="00CB3524" w:rsidRPr="00CF6F94" w:rsidRDefault="00CB3524" w:rsidP="0061691C">
      <w:pPr>
        <w:jc w:val="center"/>
        <w:rPr>
          <w:rFonts w:asciiTheme="minorHAnsi" w:hAnsiTheme="minorHAnsi"/>
          <w:sz w:val="22"/>
          <w:szCs w:val="22"/>
        </w:rPr>
      </w:pPr>
      <w:r w:rsidRPr="00CF6F94">
        <w:rPr>
          <w:rFonts w:asciiTheme="minorHAnsi" w:hAnsiTheme="minorHAnsi"/>
          <w:sz w:val="22"/>
          <w:szCs w:val="22"/>
        </w:rPr>
        <w:t xml:space="preserve">”Por la cual se </w:t>
      </w:r>
      <w:r w:rsidR="0061691C">
        <w:rPr>
          <w:rFonts w:asciiTheme="minorHAnsi" w:hAnsiTheme="minorHAnsi"/>
          <w:sz w:val="22"/>
          <w:szCs w:val="22"/>
        </w:rPr>
        <w:t xml:space="preserve">realiza una distribución de competencias en </w:t>
      </w:r>
      <w:r w:rsidRPr="00CF6F94">
        <w:rPr>
          <w:rFonts w:asciiTheme="minorHAnsi" w:hAnsiTheme="minorHAnsi"/>
          <w:sz w:val="22"/>
          <w:szCs w:val="22"/>
        </w:rPr>
        <w:t>el</w:t>
      </w:r>
      <w:r w:rsidR="0061691C">
        <w:rPr>
          <w:rFonts w:asciiTheme="minorHAnsi" w:hAnsiTheme="minorHAnsi"/>
          <w:sz w:val="22"/>
          <w:szCs w:val="22"/>
        </w:rPr>
        <w:t xml:space="preserve"> nivel central y desconcentrado de la Auditoría General de la República</w:t>
      </w:r>
      <w:r w:rsidRPr="00CF6F94">
        <w:rPr>
          <w:rFonts w:asciiTheme="minorHAnsi" w:hAnsiTheme="minorHAnsi"/>
          <w:sz w:val="22"/>
          <w:szCs w:val="22"/>
        </w:rPr>
        <w:t>"</w:t>
      </w:r>
    </w:p>
    <w:p w:rsidR="00CB3524" w:rsidRPr="00CF6F94" w:rsidRDefault="00CB3524" w:rsidP="00CF6F94">
      <w:pPr>
        <w:jc w:val="center"/>
        <w:rPr>
          <w:rFonts w:asciiTheme="minorHAnsi" w:hAnsiTheme="minorHAnsi"/>
          <w:sz w:val="22"/>
          <w:szCs w:val="22"/>
        </w:rPr>
      </w:pPr>
    </w:p>
    <w:p w:rsidR="00CB3524" w:rsidRPr="00CF6F94" w:rsidRDefault="00CB3524" w:rsidP="00C130F7">
      <w:pPr>
        <w:rPr>
          <w:rFonts w:asciiTheme="minorHAnsi" w:hAnsiTheme="minorHAnsi"/>
          <w:sz w:val="22"/>
          <w:szCs w:val="22"/>
        </w:rPr>
      </w:pPr>
    </w:p>
    <w:p w:rsidR="00CB3524" w:rsidRPr="00CF6F94" w:rsidRDefault="00CB3524" w:rsidP="00CF6F94">
      <w:pPr>
        <w:jc w:val="center"/>
        <w:rPr>
          <w:rFonts w:asciiTheme="minorHAnsi" w:hAnsiTheme="minorHAnsi"/>
          <w:b/>
          <w:sz w:val="22"/>
          <w:szCs w:val="22"/>
        </w:rPr>
      </w:pPr>
      <w:r w:rsidRPr="00CF6F94">
        <w:rPr>
          <w:rFonts w:asciiTheme="minorHAnsi" w:hAnsiTheme="minorHAnsi"/>
          <w:b/>
          <w:sz w:val="22"/>
          <w:szCs w:val="22"/>
        </w:rPr>
        <w:t>LA AUDITORA GENERAL DE LA REPÚBLICA</w:t>
      </w:r>
    </w:p>
    <w:p w:rsidR="00CB3524" w:rsidRPr="00CF6F94" w:rsidRDefault="00CB3524" w:rsidP="00CF6F94">
      <w:pPr>
        <w:jc w:val="both"/>
        <w:rPr>
          <w:rFonts w:asciiTheme="minorHAnsi" w:hAnsiTheme="minorHAnsi"/>
          <w:sz w:val="22"/>
          <w:szCs w:val="22"/>
        </w:rPr>
      </w:pPr>
    </w:p>
    <w:p w:rsidR="00CB3524" w:rsidRPr="00CF6F94" w:rsidRDefault="00CB3524" w:rsidP="00CF6F94">
      <w:pPr>
        <w:jc w:val="both"/>
        <w:rPr>
          <w:rFonts w:asciiTheme="minorHAnsi" w:hAnsiTheme="minorHAnsi"/>
          <w:sz w:val="22"/>
          <w:szCs w:val="22"/>
        </w:rPr>
      </w:pPr>
      <w:r w:rsidRPr="00CF6F94">
        <w:rPr>
          <w:rFonts w:asciiTheme="minorHAnsi" w:hAnsiTheme="minorHAnsi"/>
          <w:sz w:val="22"/>
          <w:szCs w:val="22"/>
        </w:rPr>
        <w:t>En ejercicio de las facultades constitucionales y legales y especialmente las conferidas en el artículo 274 de la Constitución Política y en el numeral 14 del artículo 17 del Decreto-Ley 272 de 2000, y</w:t>
      </w:r>
    </w:p>
    <w:p w:rsidR="00CB3524" w:rsidRPr="00CF6F94" w:rsidRDefault="00CB3524" w:rsidP="00CF6F94">
      <w:pPr>
        <w:jc w:val="both"/>
        <w:rPr>
          <w:rFonts w:asciiTheme="minorHAnsi" w:hAnsiTheme="minorHAnsi"/>
          <w:sz w:val="22"/>
          <w:szCs w:val="22"/>
        </w:rPr>
      </w:pPr>
    </w:p>
    <w:p w:rsidR="00CB3524" w:rsidRPr="00CF6F94" w:rsidRDefault="00CB3524" w:rsidP="00CF6F94">
      <w:pPr>
        <w:jc w:val="center"/>
        <w:rPr>
          <w:rFonts w:asciiTheme="minorHAnsi" w:hAnsiTheme="minorHAnsi"/>
          <w:b/>
          <w:sz w:val="22"/>
          <w:szCs w:val="22"/>
        </w:rPr>
      </w:pPr>
      <w:r w:rsidRPr="00CF6F94">
        <w:rPr>
          <w:rFonts w:asciiTheme="minorHAnsi" w:hAnsiTheme="minorHAnsi"/>
          <w:b/>
          <w:sz w:val="22"/>
          <w:szCs w:val="22"/>
        </w:rPr>
        <w:t>CONSIDERANDO:</w:t>
      </w:r>
    </w:p>
    <w:p w:rsidR="00CB3524" w:rsidRPr="00CF6F94" w:rsidRDefault="00CB3524" w:rsidP="00CF6F94">
      <w:pPr>
        <w:jc w:val="both"/>
        <w:rPr>
          <w:rFonts w:asciiTheme="minorHAnsi" w:hAnsiTheme="minorHAnsi"/>
          <w:sz w:val="22"/>
          <w:szCs w:val="22"/>
        </w:rPr>
      </w:pPr>
    </w:p>
    <w:p w:rsidR="00CB3524" w:rsidRDefault="00CB3524" w:rsidP="00CF6F94">
      <w:pPr>
        <w:jc w:val="both"/>
        <w:rPr>
          <w:rFonts w:asciiTheme="minorHAnsi" w:hAnsiTheme="minorHAnsi"/>
          <w:sz w:val="22"/>
          <w:szCs w:val="22"/>
        </w:rPr>
      </w:pPr>
      <w:r w:rsidRPr="00CF6F94">
        <w:rPr>
          <w:rFonts w:asciiTheme="minorHAnsi" w:hAnsiTheme="minorHAnsi"/>
          <w:sz w:val="22"/>
          <w:szCs w:val="22"/>
        </w:rPr>
        <w:t>Que el artículo 274 de la Constitución Política, modificado por el artículo 5 del Acto Legislativo No. 04 de 2019 “Por medio del cual se reforma el Régimen de Control Fiscal” señala que</w:t>
      </w:r>
      <w:r w:rsidR="007231E3">
        <w:rPr>
          <w:rFonts w:asciiTheme="minorHAnsi" w:hAnsiTheme="minorHAnsi"/>
          <w:sz w:val="22"/>
          <w:szCs w:val="22"/>
        </w:rPr>
        <w:t xml:space="preserve"> </w:t>
      </w:r>
      <w:r w:rsidRPr="00CF6F94">
        <w:rPr>
          <w:rFonts w:asciiTheme="minorHAnsi" w:hAnsiTheme="minorHAnsi"/>
          <w:sz w:val="22"/>
          <w:szCs w:val="22"/>
        </w:rPr>
        <w:t>“La vigilancia de la gestión fiscal de la Contraloría General de la República y de todas las contralorías territoriales se ejercerá por el Auditor General de la República, elegido por el Consejo de Estado de terna enviada por la Corte Suprema de Justicia, siguiendo los principios de transparencia, publicidad, objetividad, participación ciudadana y equidad de género, para un periodo de cuatro años. (…).”</w:t>
      </w:r>
    </w:p>
    <w:p w:rsidR="00CF6F94" w:rsidRPr="00CF6F94" w:rsidRDefault="00CF6F94" w:rsidP="00CF6F94">
      <w:pPr>
        <w:jc w:val="both"/>
        <w:rPr>
          <w:rFonts w:asciiTheme="minorHAnsi" w:hAnsiTheme="minorHAnsi"/>
          <w:sz w:val="22"/>
          <w:szCs w:val="22"/>
        </w:rPr>
      </w:pPr>
    </w:p>
    <w:p w:rsidR="00CB3524" w:rsidRPr="00CF6F94" w:rsidRDefault="00CB3524" w:rsidP="00CF6F94">
      <w:pPr>
        <w:jc w:val="both"/>
        <w:rPr>
          <w:rFonts w:asciiTheme="minorHAnsi" w:hAnsiTheme="minorHAnsi"/>
          <w:sz w:val="22"/>
          <w:szCs w:val="22"/>
        </w:rPr>
      </w:pPr>
      <w:r w:rsidRPr="00CF6F94">
        <w:rPr>
          <w:rFonts w:asciiTheme="minorHAnsi" w:hAnsiTheme="minorHAnsi"/>
          <w:sz w:val="22"/>
          <w:szCs w:val="22"/>
        </w:rPr>
        <w:t xml:space="preserve">Que en el documento “Bases del Plan Nacional de Desarrollo 2018-2022" aprobado mediante Ley 1955 de 2019, por el cual se expide el Plan Nacional de Desarrollo 2018-2022 “Pacto por Colombia, Pacto por la Equidad”, se estableció que: </w:t>
      </w:r>
      <w:r w:rsidR="002100C7">
        <w:rPr>
          <w:rFonts w:asciiTheme="minorHAnsi" w:hAnsiTheme="minorHAnsi"/>
          <w:sz w:val="22"/>
          <w:szCs w:val="22"/>
        </w:rPr>
        <w:t>“</w:t>
      </w:r>
      <w:r w:rsidRPr="00CF6F94">
        <w:rPr>
          <w:rFonts w:asciiTheme="minorHAnsi" w:hAnsiTheme="minorHAnsi"/>
          <w:sz w:val="22"/>
          <w:szCs w:val="22"/>
        </w:rPr>
        <w:t>La Presidencia de la República liderará el proceso de reestructuración del modelo de control fiscal nacional y territorial, en coordinación con todas las entidades competentes, con la finalidad de garantizar la profesionalización en el carácter preventivo y de advertencia que permitan la articulación y el resarcimiento oportuno y efectivo al daño al patrimonio público. (…)”</w:t>
      </w:r>
    </w:p>
    <w:p w:rsidR="00CB3524" w:rsidRPr="00CF6F94" w:rsidRDefault="00CB3524" w:rsidP="00CF6F94">
      <w:pPr>
        <w:jc w:val="both"/>
        <w:rPr>
          <w:rFonts w:asciiTheme="minorHAnsi" w:hAnsiTheme="minorHAnsi"/>
          <w:sz w:val="22"/>
          <w:szCs w:val="22"/>
        </w:rPr>
      </w:pPr>
    </w:p>
    <w:p w:rsidR="00CB3524" w:rsidRDefault="00CB3524" w:rsidP="00CF6F94">
      <w:pPr>
        <w:jc w:val="both"/>
        <w:rPr>
          <w:rFonts w:asciiTheme="minorHAnsi" w:hAnsiTheme="minorHAnsi"/>
          <w:sz w:val="22"/>
          <w:szCs w:val="22"/>
        </w:rPr>
      </w:pPr>
      <w:r w:rsidRPr="00CF6F94">
        <w:rPr>
          <w:rFonts w:asciiTheme="minorHAnsi" w:hAnsiTheme="minorHAnsi"/>
          <w:sz w:val="22"/>
          <w:szCs w:val="22"/>
        </w:rPr>
        <w:t xml:space="preserve">Que el artículo 2 del Decreto-Ley 272 </w:t>
      </w:r>
      <w:r w:rsidR="00682D1D">
        <w:rPr>
          <w:rFonts w:asciiTheme="minorHAnsi" w:hAnsiTheme="minorHAnsi"/>
          <w:sz w:val="22"/>
          <w:szCs w:val="22"/>
        </w:rPr>
        <w:t xml:space="preserve">de 2000 </w:t>
      </w:r>
      <w:r w:rsidRPr="00CF6F94">
        <w:rPr>
          <w:rFonts w:asciiTheme="minorHAnsi" w:hAnsiTheme="minorHAnsi"/>
          <w:sz w:val="22"/>
          <w:szCs w:val="22"/>
        </w:rPr>
        <w:t>señaló que le “corresponde a la Auditoría General de la República ejercer la vigilancia de la gestión fiscal de la Contraloría General de la República y de las contralorías departamentales, en los términos que este Decreto establece.”</w:t>
      </w:r>
    </w:p>
    <w:p w:rsidR="009F1F09" w:rsidRDefault="009F1F09" w:rsidP="009F1F09">
      <w:pPr>
        <w:pStyle w:val="Style1"/>
        <w:kinsoku w:val="0"/>
        <w:autoSpaceDE/>
        <w:autoSpaceDN/>
        <w:adjustRightInd/>
        <w:spacing w:before="288"/>
        <w:jc w:val="both"/>
        <w:rPr>
          <w:rFonts w:asciiTheme="minorHAnsi" w:eastAsia="Times New Roman" w:hAnsiTheme="minorHAnsi"/>
          <w:sz w:val="22"/>
          <w:szCs w:val="22"/>
          <w:lang w:val="es-ES" w:eastAsia="es-ES"/>
        </w:rPr>
      </w:pPr>
      <w:r w:rsidRPr="007E4F47">
        <w:rPr>
          <w:rFonts w:asciiTheme="minorHAnsi" w:hAnsiTheme="minorHAnsi"/>
          <w:sz w:val="22"/>
          <w:szCs w:val="22"/>
          <w:lang w:val="es-CO"/>
        </w:rPr>
        <w:t>Que mediante concepto</w:t>
      </w:r>
      <w:r w:rsidR="00464E45" w:rsidRPr="007E4F47">
        <w:rPr>
          <w:rFonts w:asciiTheme="minorHAnsi" w:hAnsiTheme="minorHAnsi"/>
          <w:sz w:val="22"/>
          <w:szCs w:val="22"/>
          <w:lang w:val="es-CO"/>
        </w:rPr>
        <w:t xml:space="preserve"> jurídico</w:t>
      </w:r>
      <w:r w:rsidRPr="007E4F47">
        <w:rPr>
          <w:rFonts w:asciiTheme="minorHAnsi" w:hAnsiTheme="minorHAnsi"/>
          <w:sz w:val="22"/>
          <w:szCs w:val="22"/>
          <w:lang w:val="es-CO"/>
        </w:rPr>
        <w:t xml:space="preserve"> </w:t>
      </w:r>
      <w:r w:rsidR="00D03719">
        <w:rPr>
          <w:rFonts w:asciiTheme="minorHAnsi" w:hAnsiTheme="minorHAnsi"/>
          <w:sz w:val="22"/>
          <w:szCs w:val="22"/>
          <w:lang w:val="es-CO"/>
        </w:rPr>
        <w:t xml:space="preserve">con radicado </w:t>
      </w:r>
      <w:r w:rsidR="004842AF" w:rsidRPr="007E4F47">
        <w:rPr>
          <w:rFonts w:asciiTheme="minorHAnsi" w:hAnsiTheme="minorHAnsi"/>
          <w:sz w:val="22"/>
          <w:szCs w:val="22"/>
          <w:lang w:val="es-CO"/>
        </w:rPr>
        <w:t xml:space="preserve">No. </w:t>
      </w:r>
      <w:r w:rsidRPr="007E4F47">
        <w:rPr>
          <w:rFonts w:asciiTheme="minorHAnsi" w:hAnsiTheme="minorHAnsi"/>
          <w:sz w:val="22"/>
          <w:szCs w:val="22"/>
          <w:lang w:val="es-CO"/>
        </w:rPr>
        <w:t>20191100037713 de</w:t>
      </w:r>
      <w:r w:rsidR="004842AF" w:rsidRPr="007E4F47">
        <w:rPr>
          <w:rFonts w:asciiTheme="minorHAnsi" w:hAnsiTheme="minorHAnsi"/>
          <w:sz w:val="22"/>
          <w:szCs w:val="22"/>
          <w:lang w:val="es-CO"/>
        </w:rPr>
        <w:t>l</w:t>
      </w:r>
      <w:r w:rsidRPr="007E4F47">
        <w:rPr>
          <w:rFonts w:asciiTheme="minorHAnsi" w:hAnsiTheme="minorHAnsi"/>
          <w:sz w:val="22"/>
          <w:szCs w:val="22"/>
          <w:lang w:val="es-CO"/>
        </w:rPr>
        <w:t xml:space="preserve"> 3 de diciembre de </w:t>
      </w:r>
      <w:r w:rsidRPr="007E4F47">
        <w:rPr>
          <w:rFonts w:asciiTheme="minorHAnsi" w:eastAsia="Times New Roman" w:hAnsiTheme="minorHAnsi"/>
          <w:sz w:val="22"/>
          <w:szCs w:val="22"/>
          <w:lang w:val="es-ES" w:eastAsia="es-ES"/>
        </w:rPr>
        <w:t xml:space="preserve">2019, </w:t>
      </w:r>
      <w:r w:rsidR="004842AF" w:rsidRPr="007E4F47">
        <w:rPr>
          <w:rFonts w:asciiTheme="minorHAnsi" w:eastAsia="Times New Roman" w:hAnsiTheme="minorHAnsi"/>
          <w:sz w:val="22"/>
          <w:szCs w:val="22"/>
          <w:lang w:val="es-ES" w:eastAsia="es-ES"/>
        </w:rPr>
        <w:t>la</w:t>
      </w:r>
      <w:r w:rsidRPr="007E4F47">
        <w:rPr>
          <w:rFonts w:asciiTheme="minorHAnsi" w:eastAsia="Times New Roman" w:hAnsiTheme="minorHAnsi"/>
          <w:sz w:val="22"/>
          <w:szCs w:val="22"/>
          <w:lang w:val="es-ES" w:eastAsia="es-ES"/>
        </w:rPr>
        <w:t xml:space="preserve"> Oficina Jurídica</w:t>
      </w:r>
      <w:r w:rsidR="007E4F47" w:rsidRPr="007E4F47">
        <w:rPr>
          <w:rFonts w:asciiTheme="minorHAnsi" w:eastAsia="Times New Roman" w:hAnsiTheme="minorHAnsi"/>
          <w:sz w:val="22"/>
          <w:szCs w:val="22"/>
          <w:lang w:val="es-ES" w:eastAsia="es-ES"/>
        </w:rPr>
        <w:t xml:space="preserve"> de la Entidad, en relación con </w:t>
      </w:r>
      <w:r w:rsidR="004842AF" w:rsidRPr="007E4F47">
        <w:rPr>
          <w:rFonts w:asciiTheme="minorHAnsi" w:eastAsia="Times New Roman" w:hAnsiTheme="minorHAnsi"/>
          <w:sz w:val="22"/>
          <w:szCs w:val="22"/>
          <w:lang w:val="es-ES" w:eastAsia="es-ES"/>
        </w:rPr>
        <w:t xml:space="preserve">la competencia de </w:t>
      </w:r>
      <w:r w:rsidR="007E4F47" w:rsidRPr="007E4F47">
        <w:rPr>
          <w:rFonts w:asciiTheme="minorHAnsi" w:eastAsia="Times New Roman" w:hAnsiTheme="minorHAnsi"/>
          <w:sz w:val="22"/>
          <w:szCs w:val="22"/>
          <w:lang w:val="es-ES" w:eastAsia="es-ES"/>
        </w:rPr>
        <w:t>la Auditoría General de la R</w:t>
      </w:r>
      <w:r w:rsidR="007E4F47" w:rsidRPr="007E4F47">
        <w:rPr>
          <w:rFonts w:asciiTheme="minorHAnsi" w:eastAsia="Times New Roman" w:hAnsiTheme="minorHAnsi"/>
          <w:sz w:val="22"/>
          <w:szCs w:val="22"/>
          <w:lang w:val="es-ES" w:eastAsia="es-ES"/>
        </w:rPr>
        <w:t>e</w:t>
      </w:r>
      <w:r w:rsidR="007E4F47" w:rsidRPr="007E4F47">
        <w:rPr>
          <w:rFonts w:asciiTheme="minorHAnsi" w:eastAsia="Times New Roman" w:hAnsiTheme="minorHAnsi"/>
          <w:sz w:val="22"/>
          <w:szCs w:val="22"/>
          <w:lang w:val="es-ES" w:eastAsia="es-ES"/>
        </w:rPr>
        <w:t>pública</w:t>
      </w:r>
      <w:r w:rsidR="004842AF" w:rsidRPr="007E4F47">
        <w:rPr>
          <w:rFonts w:asciiTheme="minorHAnsi" w:eastAsia="Times New Roman" w:hAnsiTheme="minorHAnsi"/>
          <w:sz w:val="22"/>
          <w:szCs w:val="22"/>
          <w:lang w:val="es-ES" w:eastAsia="es-ES"/>
        </w:rPr>
        <w:t xml:space="preserve"> para ejercer vigilancia y control fiscal a los recursos públicos que maneje o administren los Fondos de Bienestar Social de las contralorías territoriales, </w:t>
      </w:r>
      <w:r w:rsidR="007E4F47" w:rsidRPr="007E4F47">
        <w:rPr>
          <w:rFonts w:asciiTheme="minorHAnsi" w:eastAsia="Times New Roman" w:hAnsiTheme="minorHAnsi"/>
          <w:sz w:val="22"/>
          <w:szCs w:val="22"/>
          <w:lang w:val="es-ES" w:eastAsia="es-ES"/>
        </w:rPr>
        <w:t>indicó</w:t>
      </w:r>
      <w:r w:rsidR="004842AF" w:rsidRPr="007E4F47">
        <w:rPr>
          <w:rFonts w:asciiTheme="minorHAnsi" w:eastAsia="Times New Roman" w:hAnsiTheme="minorHAnsi"/>
          <w:sz w:val="22"/>
          <w:szCs w:val="22"/>
          <w:lang w:val="es-ES" w:eastAsia="es-ES"/>
        </w:rPr>
        <w:t>:</w:t>
      </w:r>
      <w:r w:rsidRPr="007E4F47">
        <w:rPr>
          <w:rFonts w:asciiTheme="minorHAnsi" w:eastAsia="Times New Roman" w:hAnsiTheme="minorHAnsi"/>
          <w:sz w:val="22"/>
          <w:szCs w:val="22"/>
          <w:lang w:val="es-ES" w:eastAsia="es-ES"/>
        </w:rPr>
        <w:t xml:space="preserve"> </w:t>
      </w:r>
      <w:r w:rsidR="004842AF" w:rsidRPr="007E4F47">
        <w:rPr>
          <w:rFonts w:asciiTheme="minorHAnsi" w:eastAsia="Times New Roman" w:hAnsiTheme="minorHAnsi"/>
          <w:sz w:val="22"/>
          <w:szCs w:val="22"/>
          <w:lang w:val="es-ES" w:eastAsia="es-ES"/>
        </w:rPr>
        <w:t>“</w:t>
      </w:r>
      <w:r w:rsidR="004842AF" w:rsidRPr="00476D3D">
        <w:rPr>
          <w:rFonts w:asciiTheme="minorHAnsi" w:eastAsia="Times New Roman" w:hAnsiTheme="minorHAnsi"/>
          <w:i/>
          <w:sz w:val="22"/>
          <w:szCs w:val="22"/>
          <w:lang w:val="es-ES" w:eastAsia="es-ES"/>
        </w:rPr>
        <w:t>C</w:t>
      </w:r>
      <w:r w:rsidRPr="00476D3D">
        <w:rPr>
          <w:rFonts w:asciiTheme="minorHAnsi" w:eastAsia="Times New Roman" w:hAnsiTheme="minorHAnsi"/>
          <w:i/>
          <w:sz w:val="22"/>
          <w:szCs w:val="22"/>
          <w:lang w:val="es-ES" w:eastAsia="es-ES"/>
        </w:rPr>
        <w:t>onsidera</w:t>
      </w:r>
      <w:r w:rsidR="004842AF" w:rsidRPr="00476D3D">
        <w:rPr>
          <w:rFonts w:asciiTheme="minorHAnsi" w:eastAsia="Times New Roman" w:hAnsiTheme="minorHAnsi"/>
          <w:i/>
          <w:sz w:val="22"/>
          <w:szCs w:val="22"/>
          <w:lang w:val="es-ES" w:eastAsia="es-ES"/>
        </w:rPr>
        <w:t>ndo</w:t>
      </w:r>
      <w:r w:rsidRPr="00476D3D">
        <w:rPr>
          <w:rFonts w:asciiTheme="minorHAnsi" w:eastAsia="Times New Roman" w:hAnsiTheme="minorHAnsi"/>
          <w:i/>
          <w:sz w:val="22"/>
          <w:szCs w:val="22"/>
          <w:lang w:val="es-ES" w:eastAsia="es-ES"/>
        </w:rPr>
        <w:t xml:space="preserve"> que los Fondos de Bienestar Social de las contralorías ejercen funciones públicas a nombre de las mismas, tenie</w:t>
      </w:r>
      <w:r w:rsidRPr="00476D3D">
        <w:rPr>
          <w:rFonts w:asciiTheme="minorHAnsi" w:eastAsia="Times New Roman" w:hAnsiTheme="minorHAnsi"/>
          <w:i/>
          <w:sz w:val="22"/>
          <w:szCs w:val="22"/>
          <w:lang w:val="es-ES" w:eastAsia="es-ES"/>
        </w:rPr>
        <w:t>n</w:t>
      </w:r>
      <w:r w:rsidRPr="00476D3D">
        <w:rPr>
          <w:rFonts w:asciiTheme="minorHAnsi" w:eastAsia="Times New Roman" w:hAnsiTheme="minorHAnsi"/>
          <w:i/>
          <w:sz w:val="22"/>
          <w:szCs w:val="22"/>
          <w:lang w:val="es-ES" w:eastAsia="es-ES"/>
        </w:rPr>
        <w:t>do relación de subordinación y dependencia directa</w:t>
      </w:r>
      <w:r w:rsidR="004842AF" w:rsidRPr="00476D3D">
        <w:rPr>
          <w:rFonts w:asciiTheme="minorHAnsi" w:eastAsia="Times New Roman" w:hAnsiTheme="minorHAnsi"/>
          <w:i/>
          <w:sz w:val="22"/>
          <w:szCs w:val="22"/>
          <w:lang w:val="es-ES" w:eastAsia="es-ES"/>
        </w:rPr>
        <w:t xml:space="preserve"> de las mismas</w:t>
      </w:r>
      <w:r w:rsidRPr="00476D3D">
        <w:rPr>
          <w:rFonts w:asciiTheme="minorHAnsi" w:eastAsia="Times New Roman" w:hAnsiTheme="minorHAnsi"/>
          <w:i/>
          <w:sz w:val="22"/>
          <w:szCs w:val="22"/>
          <w:lang w:val="es-ES" w:eastAsia="es-ES"/>
        </w:rPr>
        <w:t xml:space="preserve"> y se nutren de recursos públicos asignados en el presupuesto de estos organismos de control fiscal, </w:t>
      </w:r>
      <w:r w:rsidR="005A4041" w:rsidRPr="00476D3D">
        <w:rPr>
          <w:rFonts w:asciiTheme="minorHAnsi" w:eastAsia="Times New Roman" w:hAnsiTheme="minorHAnsi"/>
          <w:i/>
          <w:sz w:val="22"/>
          <w:szCs w:val="22"/>
          <w:lang w:val="es-ES" w:eastAsia="es-ES"/>
        </w:rPr>
        <w:t>le corresponde a la Auditorí</w:t>
      </w:r>
      <w:r w:rsidRPr="00476D3D">
        <w:rPr>
          <w:rFonts w:asciiTheme="minorHAnsi" w:eastAsia="Times New Roman" w:hAnsiTheme="minorHAnsi"/>
          <w:i/>
          <w:sz w:val="22"/>
          <w:szCs w:val="22"/>
          <w:lang w:val="es-ES" w:eastAsia="es-ES"/>
        </w:rPr>
        <w:t xml:space="preserve">a General de la República ejercer el control fiscal </w:t>
      </w:r>
      <w:r w:rsidR="003B7AF0" w:rsidRPr="00476D3D">
        <w:rPr>
          <w:rFonts w:asciiTheme="minorHAnsi" w:eastAsia="Times New Roman" w:hAnsiTheme="minorHAnsi"/>
          <w:i/>
          <w:sz w:val="22"/>
          <w:szCs w:val="22"/>
          <w:lang w:val="es-ES" w:eastAsia="es-ES"/>
        </w:rPr>
        <w:t>a los recursos públicos de los f</w:t>
      </w:r>
      <w:r w:rsidRPr="00476D3D">
        <w:rPr>
          <w:rFonts w:asciiTheme="minorHAnsi" w:eastAsia="Times New Roman" w:hAnsiTheme="minorHAnsi"/>
          <w:i/>
          <w:sz w:val="22"/>
          <w:szCs w:val="22"/>
          <w:lang w:val="es-ES" w:eastAsia="es-ES"/>
        </w:rPr>
        <w:t>ondos</w:t>
      </w:r>
      <w:r w:rsidR="004842AF" w:rsidRPr="007E4F47">
        <w:rPr>
          <w:rFonts w:asciiTheme="minorHAnsi" w:eastAsia="Times New Roman" w:hAnsiTheme="minorHAnsi"/>
          <w:sz w:val="22"/>
          <w:szCs w:val="22"/>
          <w:lang w:val="es-ES" w:eastAsia="es-ES"/>
        </w:rPr>
        <w:t>”</w:t>
      </w:r>
      <w:r w:rsidRPr="007E4F47">
        <w:rPr>
          <w:rFonts w:asciiTheme="minorHAnsi" w:eastAsia="Times New Roman" w:hAnsiTheme="minorHAnsi"/>
          <w:sz w:val="22"/>
          <w:szCs w:val="22"/>
          <w:lang w:val="es-ES" w:eastAsia="es-ES"/>
        </w:rPr>
        <w:t>.</w:t>
      </w:r>
    </w:p>
    <w:p w:rsidR="009F1F09" w:rsidRDefault="009F1F09" w:rsidP="00CF6F94">
      <w:pPr>
        <w:jc w:val="both"/>
        <w:rPr>
          <w:rFonts w:asciiTheme="minorHAnsi" w:hAnsiTheme="minorHAnsi"/>
          <w:sz w:val="22"/>
          <w:szCs w:val="22"/>
        </w:rPr>
      </w:pPr>
    </w:p>
    <w:p w:rsidR="00CB3524" w:rsidRPr="00CF6F94" w:rsidRDefault="00CB3524" w:rsidP="00CF6F94">
      <w:pPr>
        <w:jc w:val="both"/>
        <w:rPr>
          <w:rFonts w:asciiTheme="minorHAnsi" w:hAnsiTheme="minorHAnsi"/>
          <w:sz w:val="22"/>
          <w:szCs w:val="22"/>
        </w:rPr>
      </w:pPr>
      <w:r w:rsidRPr="00CF6F94">
        <w:rPr>
          <w:rFonts w:asciiTheme="minorHAnsi" w:hAnsiTheme="minorHAnsi"/>
          <w:sz w:val="22"/>
          <w:szCs w:val="22"/>
        </w:rPr>
        <w:t>Que mediante Sentencia C-1339-2000, la Corte Constitucional declaró exequible el Decreto-Ley 272 de 2000 y amplió las facultades de la Auditoría General para vigilar la gestión fiscal de las contralorías Distritales y Municipales.</w:t>
      </w:r>
    </w:p>
    <w:p w:rsidR="00CB3524" w:rsidRPr="00CF6F94" w:rsidRDefault="00CB3524" w:rsidP="00CF6F94">
      <w:pPr>
        <w:jc w:val="both"/>
        <w:rPr>
          <w:rFonts w:asciiTheme="minorHAnsi" w:hAnsiTheme="minorHAnsi"/>
          <w:sz w:val="22"/>
          <w:szCs w:val="22"/>
        </w:rPr>
      </w:pPr>
    </w:p>
    <w:p w:rsidR="00CB3524" w:rsidRPr="00CF6F94" w:rsidRDefault="00CB3524" w:rsidP="00CF6F94">
      <w:pPr>
        <w:jc w:val="both"/>
        <w:rPr>
          <w:rFonts w:asciiTheme="minorHAnsi" w:hAnsiTheme="minorHAnsi"/>
          <w:sz w:val="22"/>
          <w:szCs w:val="22"/>
        </w:rPr>
      </w:pPr>
      <w:r w:rsidRPr="00CF6F94">
        <w:rPr>
          <w:rFonts w:asciiTheme="minorHAnsi" w:hAnsiTheme="minorHAnsi"/>
          <w:sz w:val="22"/>
          <w:szCs w:val="22"/>
        </w:rPr>
        <w:t>Que el artículo 10 del Decreto-Ley 272 del 2000 estableció que “La Auditoría General de la República desarrollará sus funciones a través de un nivel central y un nivel desconcentrado. El primero tendrá su sede en la ciudad de Santa Fe de Bogotá, D. C., y el segundo estará conformado por las gerencias seccionales.”</w:t>
      </w:r>
    </w:p>
    <w:p w:rsidR="00CB3524" w:rsidRPr="00CF6F94" w:rsidRDefault="00CB3524" w:rsidP="00CF6F94">
      <w:pPr>
        <w:jc w:val="both"/>
        <w:rPr>
          <w:rFonts w:asciiTheme="minorHAnsi" w:hAnsiTheme="minorHAnsi"/>
          <w:sz w:val="22"/>
          <w:szCs w:val="22"/>
        </w:rPr>
      </w:pPr>
    </w:p>
    <w:p w:rsidR="00CB3524" w:rsidRPr="00CF6F94" w:rsidRDefault="00CB3524" w:rsidP="00CF6F94">
      <w:pPr>
        <w:jc w:val="both"/>
        <w:rPr>
          <w:rFonts w:asciiTheme="minorHAnsi" w:hAnsiTheme="minorHAnsi"/>
          <w:sz w:val="22"/>
          <w:szCs w:val="22"/>
        </w:rPr>
      </w:pPr>
      <w:r w:rsidRPr="00CF6F94">
        <w:rPr>
          <w:rFonts w:asciiTheme="minorHAnsi" w:hAnsiTheme="minorHAnsi"/>
          <w:sz w:val="22"/>
          <w:szCs w:val="22"/>
        </w:rPr>
        <w:t xml:space="preserve">Que el numeral 9 del artículo 24 del Decreto Ley 272 de 2000, señala como competencia de la Auditoría General “Ejercer la revisión de cuentas y realizar la auditoría de gestión integral, incluida </w:t>
      </w:r>
      <w:r w:rsidRPr="00CF6F94">
        <w:rPr>
          <w:rFonts w:asciiTheme="minorHAnsi" w:hAnsiTheme="minorHAnsi"/>
          <w:sz w:val="22"/>
          <w:szCs w:val="22"/>
        </w:rPr>
        <w:lastRenderedPageBreak/>
        <w:t>la evaluación del control fiscal interno a la Contraloría General de la República y demás entes vigilados según asignación de competencias que efectúe el Auditor General”.</w:t>
      </w:r>
    </w:p>
    <w:p w:rsidR="00CB3524" w:rsidRPr="00CF6F94" w:rsidRDefault="00CB3524" w:rsidP="00CF6F94">
      <w:pPr>
        <w:jc w:val="both"/>
        <w:rPr>
          <w:rFonts w:asciiTheme="minorHAnsi" w:hAnsiTheme="minorHAnsi"/>
          <w:sz w:val="22"/>
          <w:szCs w:val="22"/>
        </w:rPr>
      </w:pPr>
    </w:p>
    <w:p w:rsidR="00CB3524" w:rsidRPr="00CF6F94" w:rsidRDefault="00CB3524" w:rsidP="00CF6F94">
      <w:pPr>
        <w:jc w:val="both"/>
        <w:rPr>
          <w:rFonts w:asciiTheme="minorHAnsi" w:hAnsiTheme="minorHAnsi"/>
          <w:sz w:val="22"/>
          <w:szCs w:val="22"/>
        </w:rPr>
      </w:pPr>
      <w:r w:rsidRPr="00CF6F94">
        <w:rPr>
          <w:rFonts w:asciiTheme="minorHAnsi" w:hAnsiTheme="minorHAnsi"/>
          <w:sz w:val="22"/>
          <w:szCs w:val="22"/>
        </w:rPr>
        <w:t>Que de acuerdo con el numeral 14 del artículo 17 del Decreto-Ley 272 de 2000, el Auditor General de la República está facultado para “Asignar a las distintas dependencias y funcionarios de la Auditoria General de la República las competencias y tareas necesarias para el cabal cumplimiento de las funciones a que hubiere lugar, con sujeción a las disposiciones constitucionales y legales vigentes.”</w:t>
      </w:r>
    </w:p>
    <w:p w:rsidR="00CB3524" w:rsidRPr="00CF6F94" w:rsidRDefault="00CB3524" w:rsidP="00CF6F94">
      <w:pPr>
        <w:jc w:val="both"/>
        <w:rPr>
          <w:rFonts w:asciiTheme="minorHAnsi" w:hAnsiTheme="minorHAnsi"/>
          <w:sz w:val="22"/>
          <w:szCs w:val="22"/>
        </w:rPr>
      </w:pPr>
    </w:p>
    <w:p w:rsidR="00682D1D" w:rsidRDefault="00CB3524" w:rsidP="00CF6F94">
      <w:pPr>
        <w:jc w:val="both"/>
        <w:rPr>
          <w:rFonts w:asciiTheme="minorHAnsi" w:hAnsiTheme="minorHAnsi"/>
          <w:sz w:val="22"/>
          <w:szCs w:val="22"/>
        </w:rPr>
      </w:pPr>
      <w:r w:rsidRPr="00CF6F94">
        <w:rPr>
          <w:rFonts w:asciiTheme="minorHAnsi" w:hAnsiTheme="minorHAnsi"/>
          <w:sz w:val="22"/>
          <w:szCs w:val="22"/>
        </w:rPr>
        <w:t xml:space="preserve">Que el artículo 11 del Decreto-Ley 272 del 2000 </w:t>
      </w:r>
      <w:r w:rsidR="00682D1D">
        <w:rPr>
          <w:rFonts w:asciiTheme="minorHAnsi" w:hAnsiTheme="minorHAnsi"/>
          <w:sz w:val="22"/>
          <w:szCs w:val="22"/>
        </w:rPr>
        <w:t>faculta al Auditor General de la República para reorganizar las gerencias seccionales, en los siguientes términos: “</w:t>
      </w:r>
      <w:r w:rsidR="00682D1D" w:rsidRPr="00682D1D">
        <w:rPr>
          <w:rFonts w:asciiTheme="minorHAnsi" w:hAnsiTheme="minorHAnsi"/>
          <w:sz w:val="22"/>
          <w:szCs w:val="22"/>
        </w:rPr>
        <w:t>Con el propósito de desarrollar cabalmente la función de vigilancia de la gestión fiscal asignada, el Auditor General de la República, previo estudio y justificación, podrá fusionar, crear, suprimir, modificar la conformación de las gerencias seccionales y variar sus sedes, de acuerdo con las necesidades del servicio, costo de la gestión, importancia de los organismos vigilados, disponibilidad presupuestal, de instalaciones físicas, de personal y de equipo con que se cuente</w:t>
      </w:r>
      <w:r w:rsidR="00682D1D">
        <w:rPr>
          <w:rFonts w:asciiTheme="minorHAnsi" w:hAnsiTheme="minorHAnsi"/>
          <w:sz w:val="22"/>
          <w:szCs w:val="22"/>
        </w:rPr>
        <w:t>.”</w:t>
      </w:r>
    </w:p>
    <w:p w:rsidR="00682D1D" w:rsidRDefault="00682D1D" w:rsidP="00CF6F94">
      <w:pPr>
        <w:jc w:val="both"/>
        <w:rPr>
          <w:rFonts w:asciiTheme="minorHAnsi" w:hAnsiTheme="minorHAnsi"/>
          <w:sz w:val="22"/>
          <w:szCs w:val="22"/>
        </w:rPr>
      </w:pPr>
    </w:p>
    <w:p w:rsidR="00CB3524" w:rsidRPr="00CF6F94" w:rsidRDefault="00682D1D" w:rsidP="00CF6F94">
      <w:pPr>
        <w:jc w:val="both"/>
        <w:rPr>
          <w:rFonts w:asciiTheme="minorHAnsi" w:hAnsiTheme="minorHAnsi"/>
          <w:sz w:val="22"/>
          <w:szCs w:val="22"/>
        </w:rPr>
      </w:pPr>
      <w:r>
        <w:rPr>
          <w:rFonts w:asciiTheme="minorHAnsi" w:hAnsiTheme="minorHAnsi"/>
          <w:sz w:val="22"/>
          <w:szCs w:val="22"/>
        </w:rPr>
        <w:t>Que con fundamento en la facultad expuesta, con anterioridad</w:t>
      </w:r>
      <w:r w:rsidR="00CB3524" w:rsidRPr="00CF6F94">
        <w:rPr>
          <w:rFonts w:asciiTheme="minorHAnsi" w:hAnsiTheme="minorHAnsi"/>
          <w:sz w:val="22"/>
          <w:szCs w:val="22"/>
        </w:rPr>
        <w:t xml:space="preserve"> </w:t>
      </w:r>
      <w:r>
        <w:rPr>
          <w:rFonts w:asciiTheme="minorHAnsi" w:hAnsiTheme="minorHAnsi"/>
          <w:sz w:val="22"/>
          <w:szCs w:val="22"/>
        </w:rPr>
        <w:t xml:space="preserve">se ha </w:t>
      </w:r>
      <w:r w:rsidR="00CB3524" w:rsidRPr="00CF6F94">
        <w:rPr>
          <w:rFonts w:asciiTheme="minorHAnsi" w:hAnsiTheme="minorHAnsi"/>
          <w:sz w:val="22"/>
          <w:szCs w:val="22"/>
        </w:rPr>
        <w:t>modific</w:t>
      </w:r>
      <w:r>
        <w:rPr>
          <w:rFonts w:asciiTheme="minorHAnsi" w:hAnsiTheme="minorHAnsi"/>
          <w:sz w:val="22"/>
          <w:szCs w:val="22"/>
        </w:rPr>
        <w:t>ado</w:t>
      </w:r>
      <w:r w:rsidR="00CB3524" w:rsidRPr="00CF6F94">
        <w:rPr>
          <w:rFonts w:asciiTheme="minorHAnsi" w:hAnsiTheme="minorHAnsi"/>
          <w:sz w:val="22"/>
          <w:szCs w:val="22"/>
        </w:rPr>
        <w:t xml:space="preserve"> la organización del nivel desconcentrado, mediante Resoluciones Orgánicas 003-2012, 008-2012, 002-2013 y 011-2017,</w:t>
      </w:r>
      <w:r w:rsidR="00277C62">
        <w:rPr>
          <w:rFonts w:asciiTheme="minorHAnsi" w:hAnsiTheme="minorHAnsi"/>
          <w:sz w:val="22"/>
          <w:szCs w:val="22"/>
        </w:rPr>
        <w:t xml:space="preserve"> y 004-2018,</w:t>
      </w:r>
      <w:r w:rsidR="00CB3524" w:rsidRPr="00CF6F94">
        <w:rPr>
          <w:rFonts w:asciiTheme="minorHAnsi" w:hAnsiTheme="minorHAnsi"/>
          <w:sz w:val="22"/>
          <w:szCs w:val="22"/>
        </w:rPr>
        <w:t xml:space="preserve"> respectivamente.</w:t>
      </w:r>
    </w:p>
    <w:p w:rsidR="00CB3524" w:rsidRPr="00CF6F94" w:rsidRDefault="00CB3524" w:rsidP="00CF6F94">
      <w:pPr>
        <w:jc w:val="both"/>
        <w:rPr>
          <w:rFonts w:asciiTheme="minorHAnsi" w:hAnsiTheme="minorHAnsi"/>
          <w:sz w:val="22"/>
          <w:szCs w:val="22"/>
        </w:rPr>
      </w:pPr>
    </w:p>
    <w:p w:rsidR="00CB3524" w:rsidRPr="00CF6F94" w:rsidRDefault="00CB3524" w:rsidP="00CF6F94">
      <w:pPr>
        <w:jc w:val="both"/>
        <w:rPr>
          <w:rFonts w:asciiTheme="minorHAnsi" w:hAnsiTheme="minorHAnsi"/>
          <w:sz w:val="22"/>
          <w:szCs w:val="22"/>
        </w:rPr>
      </w:pPr>
      <w:r w:rsidRPr="00CF6F94">
        <w:rPr>
          <w:rFonts w:asciiTheme="minorHAnsi" w:hAnsiTheme="minorHAnsi"/>
          <w:sz w:val="22"/>
          <w:szCs w:val="22"/>
        </w:rPr>
        <w:t>Que la Resolución Orgánica No. 004 de 2018,</w:t>
      </w:r>
      <w:r w:rsidR="000630EE">
        <w:rPr>
          <w:rFonts w:asciiTheme="minorHAnsi" w:hAnsiTheme="minorHAnsi"/>
          <w:sz w:val="22"/>
          <w:szCs w:val="22"/>
        </w:rPr>
        <w:t xml:space="preserve"> actualmente vigente,</w:t>
      </w:r>
      <w:r w:rsidRPr="00CF6F94">
        <w:rPr>
          <w:rFonts w:asciiTheme="minorHAnsi" w:hAnsiTheme="minorHAnsi"/>
          <w:sz w:val="22"/>
          <w:szCs w:val="22"/>
        </w:rPr>
        <w:t xml:space="preserve"> requiere ser modificada con la presente resolución, con el propósito de efectuar ajustes que permitan redistribuir, dinamizar y fortalecer el ejercicio de control fiscal </w:t>
      </w:r>
      <w:r w:rsidR="0024288C">
        <w:rPr>
          <w:rFonts w:asciiTheme="minorHAnsi" w:hAnsiTheme="minorHAnsi"/>
          <w:sz w:val="22"/>
          <w:szCs w:val="22"/>
        </w:rPr>
        <w:t>a cargo de la Auditoría General de la República</w:t>
      </w:r>
      <w:r w:rsidRPr="00CF6F94">
        <w:rPr>
          <w:rFonts w:asciiTheme="minorHAnsi" w:hAnsiTheme="minorHAnsi"/>
          <w:sz w:val="22"/>
          <w:szCs w:val="22"/>
        </w:rPr>
        <w:t xml:space="preserve">. </w:t>
      </w:r>
    </w:p>
    <w:p w:rsidR="00CB3524" w:rsidRPr="00CF6F94" w:rsidRDefault="00CB3524" w:rsidP="00CF6F94">
      <w:pPr>
        <w:jc w:val="both"/>
        <w:rPr>
          <w:rFonts w:asciiTheme="minorHAnsi" w:hAnsiTheme="minorHAnsi"/>
          <w:sz w:val="22"/>
          <w:szCs w:val="22"/>
        </w:rPr>
      </w:pPr>
    </w:p>
    <w:p w:rsidR="00CB3524" w:rsidRPr="00CF6F94" w:rsidRDefault="00CB3524" w:rsidP="00CF6F94">
      <w:pPr>
        <w:jc w:val="both"/>
        <w:rPr>
          <w:rFonts w:asciiTheme="minorHAnsi" w:hAnsiTheme="minorHAnsi"/>
          <w:sz w:val="22"/>
          <w:szCs w:val="22"/>
        </w:rPr>
      </w:pPr>
      <w:r w:rsidRPr="00CF6F94">
        <w:rPr>
          <w:rFonts w:asciiTheme="minorHAnsi" w:hAnsiTheme="minorHAnsi"/>
          <w:sz w:val="22"/>
          <w:szCs w:val="22"/>
        </w:rPr>
        <w:t>Que en mérito de lo expuesto,</w:t>
      </w:r>
      <w:r w:rsidR="0024288C">
        <w:rPr>
          <w:rFonts w:asciiTheme="minorHAnsi" w:hAnsiTheme="minorHAnsi"/>
          <w:sz w:val="22"/>
          <w:szCs w:val="22"/>
        </w:rPr>
        <w:t xml:space="preserve"> </w:t>
      </w:r>
    </w:p>
    <w:p w:rsidR="00CB3524" w:rsidRPr="00CF6F94" w:rsidRDefault="00CB3524" w:rsidP="00CF6F94">
      <w:pPr>
        <w:jc w:val="center"/>
        <w:rPr>
          <w:rFonts w:asciiTheme="minorHAnsi" w:hAnsiTheme="minorHAnsi"/>
          <w:b/>
          <w:sz w:val="22"/>
          <w:szCs w:val="22"/>
        </w:rPr>
      </w:pPr>
    </w:p>
    <w:p w:rsidR="00CB3524" w:rsidRPr="00CF6F94" w:rsidRDefault="00CB3524" w:rsidP="00CF6F94">
      <w:pPr>
        <w:jc w:val="center"/>
        <w:rPr>
          <w:rFonts w:asciiTheme="minorHAnsi" w:hAnsiTheme="minorHAnsi"/>
          <w:b/>
          <w:sz w:val="22"/>
          <w:szCs w:val="22"/>
        </w:rPr>
      </w:pPr>
      <w:r w:rsidRPr="00CF6F94">
        <w:rPr>
          <w:rFonts w:asciiTheme="minorHAnsi" w:hAnsiTheme="minorHAnsi"/>
          <w:b/>
          <w:sz w:val="22"/>
          <w:szCs w:val="22"/>
        </w:rPr>
        <w:t>RESUELVE:</w:t>
      </w:r>
    </w:p>
    <w:p w:rsidR="00CB3524" w:rsidRPr="00CF6F94" w:rsidRDefault="00CB3524" w:rsidP="00CF6F94">
      <w:pPr>
        <w:jc w:val="both"/>
        <w:rPr>
          <w:rFonts w:asciiTheme="minorHAnsi" w:hAnsiTheme="minorHAnsi"/>
          <w:sz w:val="22"/>
          <w:szCs w:val="22"/>
        </w:rPr>
      </w:pPr>
    </w:p>
    <w:p w:rsidR="00CB3524" w:rsidRPr="00CF6F94" w:rsidRDefault="00CB3524" w:rsidP="00CF6F94">
      <w:pPr>
        <w:jc w:val="both"/>
        <w:rPr>
          <w:rFonts w:asciiTheme="minorHAnsi" w:hAnsiTheme="minorHAnsi"/>
          <w:sz w:val="22"/>
          <w:szCs w:val="22"/>
        </w:rPr>
      </w:pPr>
      <w:r w:rsidRPr="0061691C">
        <w:rPr>
          <w:rFonts w:asciiTheme="minorHAnsi" w:hAnsiTheme="minorHAnsi"/>
          <w:b/>
          <w:sz w:val="22"/>
          <w:szCs w:val="22"/>
        </w:rPr>
        <w:t>ARTÍCULO 1º.</w:t>
      </w:r>
      <w:r w:rsidRPr="00CF6F94">
        <w:rPr>
          <w:rFonts w:asciiTheme="minorHAnsi" w:hAnsiTheme="minorHAnsi"/>
          <w:sz w:val="22"/>
          <w:szCs w:val="22"/>
        </w:rPr>
        <w:t xml:space="preserve"> </w:t>
      </w:r>
      <w:r w:rsidR="000D1B09" w:rsidRPr="000D1B09">
        <w:rPr>
          <w:rFonts w:asciiTheme="minorHAnsi" w:hAnsiTheme="minorHAnsi"/>
          <w:b/>
          <w:sz w:val="22"/>
          <w:szCs w:val="22"/>
        </w:rPr>
        <w:t>COMPETENCIA DE LA DIRECCIÓN DE CONTROL FISCAL</w:t>
      </w:r>
      <w:r w:rsidR="000E22D1">
        <w:rPr>
          <w:rFonts w:asciiTheme="minorHAnsi" w:hAnsiTheme="minorHAnsi"/>
          <w:b/>
          <w:sz w:val="22"/>
          <w:szCs w:val="22"/>
        </w:rPr>
        <w:t>.-</w:t>
      </w:r>
      <w:r w:rsidR="000D1B09">
        <w:rPr>
          <w:rFonts w:asciiTheme="minorHAnsi" w:hAnsiTheme="minorHAnsi"/>
          <w:sz w:val="22"/>
          <w:szCs w:val="22"/>
        </w:rPr>
        <w:t xml:space="preserve"> </w:t>
      </w:r>
      <w:r w:rsidRPr="00CF6F94">
        <w:rPr>
          <w:rFonts w:asciiTheme="minorHAnsi" w:hAnsiTheme="minorHAnsi"/>
          <w:sz w:val="22"/>
          <w:szCs w:val="22"/>
        </w:rPr>
        <w:t>La Dirección de Control Fiscal de la Auditoría General de la República tendrá competencia para adelantar funciones de vigilancia y control fiscal a la Contraloría General de la República, Fondo de Bienestar Social de la Contralor</w:t>
      </w:r>
      <w:r w:rsidR="00446709">
        <w:rPr>
          <w:rFonts w:asciiTheme="minorHAnsi" w:hAnsiTheme="minorHAnsi"/>
          <w:sz w:val="22"/>
          <w:szCs w:val="22"/>
        </w:rPr>
        <w:t xml:space="preserve">ía General de la República y </w:t>
      </w:r>
      <w:r w:rsidR="00C00133">
        <w:rPr>
          <w:rFonts w:asciiTheme="minorHAnsi" w:hAnsiTheme="minorHAnsi"/>
          <w:sz w:val="22"/>
          <w:szCs w:val="22"/>
        </w:rPr>
        <w:t xml:space="preserve">Contraloría </w:t>
      </w:r>
      <w:r w:rsidRPr="00CF6F94">
        <w:rPr>
          <w:rFonts w:asciiTheme="minorHAnsi" w:hAnsiTheme="minorHAnsi"/>
          <w:sz w:val="22"/>
          <w:szCs w:val="22"/>
        </w:rPr>
        <w:t>de Bogotá D.C.</w:t>
      </w:r>
    </w:p>
    <w:p w:rsidR="00CB3524" w:rsidRPr="00CF6F94" w:rsidRDefault="00CB3524" w:rsidP="00CF6F94">
      <w:pPr>
        <w:jc w:val="both"/>
        <w:rPr>
          <w:rFonts w:asciiTheme="minorHAnsi" w:hAnsiTheme="minorHAnsi"/>
          <w:sz w:val="22"/>
          <w:szCs w:val="22"/>
        </w:rPr>
      </w:pPr>
    </w:p>
    <w:p w:rsidR="00721F86" w:rsidRPr="00CF6F94" w:rsidRDefault="00CB3524" w:rsidP="00CF6F94">
      <w:pPr>
        <w:jc w:val="both"/>
        <w:rPr>
          <w:rFonts w:asciiTheme="minorHAnsi" w:hAnsiTheme="minorHAnsi"/>
          <w:sz w:val="22"/>
          <w:szCs w:val="22"/>
        </w:rPr>
      </w:pPr>
      <w:r w:rsidRPr="0061691C">
        <w:rPr>
          <w:rFonts w:asciiTheme="minorHAnsi" w:hAnsiTheme="minorHAnsi"/>
          <w:b/>
          <w:sz w:val="22"/>
          <w:szCs w:val="22"/>
        </w:rPr>
        <w:t>ARTÍCULO 2º.</w:t>
      </w:r>
      <w:r w:rsidRPr="00CF6F94">
        <w:rPr>
          <w:rFonts w:asciiTheme="minorHAnsi" w:hAnsiTheme="minorHAnsi"/>
          <w:sz w:val="22"/>
          <w:szCs w:val="22"/>
        </w:rPr>
        <w:t xml:space="preserve">  </w:t>
      </w:r>
      <w:r w:rsidR="00836EB6" w:rsidRPr="00836EB6">
        <w:rPr>
          <w:rFonts w:asciiTheme="minorHAnsi" w:hAnsiTheme="minorHAnsi"/>
          <w:b/>
          <w:sz w:val="22"/>
          <w:szCs w:val="22"/>
        </w:rPr>
        <w:t>COMPETENCIA DEL NIVEL DESCONCENTRADO</w:t>
      </w:r>
      <w:r w:rsidR="000E22D1">
        <w:rPr>
          <w:rFonts w:asciiTheme="minorHAnsi" w:hAnsiTheme="minorHAnsi"/>
          <w:b/>
          <w:sz w:val="22"/>
          <w:szCs w:val="22"/>
        </w:rPr>
        <w:t>.-</w:t>
      </w:r>
      <w:r w:rsidR="00836EB6">
        <w:rPr>
          <w:rFonts w:asciiTheme="minorHAnsi" w:hAnsiTheme="minorHAnsi"/>
          <w:sz w:val="22"/>
          <w:szCs w:val="22"/>
        </w:rPr>
        <w:t xml:space="preserve"> </w:t>
      </w:r>
      <w:r w:rsidRPr="00CF6F94">
        <w:rPr>
          <w:rFonts w:asciiTheme="minorHAnsi" w:hAnsiTheme="minorHAnsi"/>
          <w:sz w:val="22"/>
          <w:szCs w:val="22"/>
        </w:rPr>
        <w:t>El nivel desconcentrado de la Audi</w:t>
      </w:r>
      <w:r w:rsidR="00836EB6">
        <w:rPr>
          <w:rFonts w:asciiTheme="minorHAnsi" w:hAnsiTheme="minorHAnsi"/>
          <w:sz w:val="22"/>
          <w:szCs w:val="22"/>
        </w:rPr>
        <w:t>toría General de la República</w:t>
      </w:r>
      <w:r w:rsidR="001445B8">
        <w:rPr>
          <w:rFonts w:asciiTheme="minorHAnsi" w:hAnsiTheme="minorHAnsi"/>
          <w:sz w:val="22"/>
          <w:szCs w:val="22"/>
        </w:rPr>
        <w:t>,</w:t>
      </w:r>
      <w:r w:rsidR="00836EB6">
        <w:rPr>
          <w:rFonts w:asciiTheme="minorHAnsi" w:hAnsiTheme="minorHAnsi"/>
          <w:sz w:val="22"/>
          <w:szCs w:val="22"/>
        </w:rPr>
        <w:t xml:space="preserve"> </w:t>
      </w:r>
      <w:r w:rsidRPr="00CF6F94">
        <w:rPr>
          <w:rFonts w:asciiTheme="minorHAnsi" w:hAnsiTheme="minorHAnsi"/>
          <w:sz w:val="22"/>
          <w:szCs w:val="22"/>
        </w:rPr>
        <w:t>conformado por diez (10) gerencias seccionales, tendrá competencia para adelantar funciones de vigilancia y control fiscal, de conformidad con la siguiente distribución:</w:t>
      </w:r>
    </w:p>
    <w:p w:rsidR="00721F86" w:rsidRPr="00CF6F94" w:rsidRDefault="00721F86" w:rsidP="00CF6F94">
      <w:pPr>
        <w:jc w:val="both"/>
        <w:rPr>
          <w:rFonts w:asciiTheme="minorHAnsi" w:hAnsiTheme="minorHAnsi"/>
          <w:sz w:val="22"/>
          <w:szCs w:val="22"/>
        </w:rPr>
      </w:pPr>
    </w:p>
    <w:p w:rsidR="00721F86" w:rsidRPr="00CF6F94" w:rsidRDefault="00CB3524" w:rsidP="00CF6F94">
      <w:pPr>
        <w:pStyle w:val="Prrafodelista"/>
        <w:numPr>
          <w:ilvl w:val="0"/>
          <w:numId w:val="4"/>
        </w:numPr>
        <w:rPr>
          <w:rFonts w:asciiTheme="minorHAnsi" w:hAnsiTheme="minorHAnsi"/>
        </w:rPr>
      </w:pPr>
      <w:r w:rsidRPr="004036EC">
        <w:rPr>
          <w:rFonts w:asciiTheme="minorHAnsi" w:hAnsiTheme="minorHAnsi"/>
          <w:b/>
        </w:rPr>
        <w:t>Gerencia Seccional I, con sede en la ciudad de Medellín:</w:t>
      </w:r>
      <w:r w:rsidRPr="00CF6F94">
        <w:rPr>
          <w:rFonts w:asciiTheme="minorHAnsi" w:hAnsiTheme="minorHAnsi"/>
        </w:rPr>
        <w:t xml:space="preserve"> Para Ias Contralorías Depa</w:t>
      </w:r>
      <w:r w:rsidRPr="00CF6F94">
        <w:rPr>
          <w:rFonts w:asciiTheme="minorHAnsi" w:hAnsiTheme="minorHAnsi"/>
        </w:rPr>
        <w:t>r</w:t>
      </w:r>
      <w:r w:rsidRPr="00CF6F94">
        <w:rPr>
          <w:rFonts w:asciiTheme="minorHAnsi" w:hAnsiTheme="minorHAnsi"/>
        </w:rPr>
        <w:t>tam</w:t>
      </w:r>
      <w:r w:rsidR="00721F86" w:rsidRPr="00CF6F94">
        <w:rPr>
          <w:rFonts w:asciiTheme="minorHAnsi" w:hAnsiTheme="minorHAnsi"/>
        </w:rPr>
        <w:t>e</w:t>
      </w:r>
      <w:r w:rsidR="009F5AF7">
        <w:rPr>
          <w:rFonts w:asciiTheme="minorHAnsi" w:hAnsiTheme="minorHAnsi"/>
        </w:rPr>
        <w:t>n</w:t>
      </w:r>
      <w:r w:rsidRPr="00CF6F94">
        <w:rPr>
          <w:rFonts w:asciiTheme="minorHAnsi" w:hAnsiTheme="minorHAnsi"/>
        </w:rPr>
        <w:t>tales de Antioquia y Nariño y las Contralorías Municipales de Medellín, BeIlo, E</w:t>
      </w:r>
      <w:r w:rsidRPr="00CF6F94">
        <w:rPr>
          <w:rFonts w:asciiTheme="minorHAnsi" w:hAnsiTheme="minorHAnsi"/>
        </w:rPr>
        <w:t>n</w:t>
      </w:r>
      <w:r w:rsidRPr="00CF6F94">
        <w:rPr>
          <w:rFonts w:asciiTheme="minorHAnsi" w:hAnsiTheme="minorHAnsi"/>
        </w:rPr>
        <w:t>vigado, Itagüí y Pasto.</w:t>
      </w:r>
    </w:p>
    <w:p w:rsidR="00721F86" w:rsidRPr="00CF6F94" w:rsidRDefault="00721F86" w:rsidP="00CF6F94">
      <w:pPr>
        <w:jc w:val="both"/>
        <w:rPr>
          <w:rFonts w:asciiTheme="minorHAnsi" w:hAnsiTheme="minorHAnsi"/>
          <w:sz w:val="22"/>
          <w:szCs w:val="22"/>
        </w:rPr>
      </w:pPr>
    </w:p>
    <w:p w:rsidR="00721F86" w:rsidRPr="00CF6F94" w:rsidRDefault="00CB3524" w:rsidP="00CF6F94">
      <w:pPr>
        <w:pStyle w:val="Prrafodelista"/>
        <w:numPr>
          <w:ilvl w:val="0"/>
          <w:numId w:val="4"/>
        </w:numPr>
        <w:rPr>
          <w:rFonts w:asciiTheme="minorHAnsi" w:hAnsiTheme="minorHAnsi"/>
        </w:rPr>
      </w:pPr>
      <w:r w:rsidRPr="004036EC">
        <w:rPr>
          <w:rFonts w:asciiTheme="minorHAnsi" w:hAnsiTheme="minorHAnsi"/>
          <w:b/>
        </w:rPr>
        <w:t>Gerencia Seccional ll, con sede en la ciudad de Bogotá D.C.:</w:t>
      </w:r>
      <w:r w:rsidRPr="00CF6F94">
        <w:rPr>
          <w:rFonts w:asciiTheme="minorHAnsi" w:hAnsiTheme="minorHAnsi"/>
        </w:rPr>
        <w:t xml:space="preserve"> Para las Contralorías D</w:t>
      </w:r>
      <w:r w:rsidRPr="00CF6F94">
        <w:rPr>
          <w:rFonts w:asciiTheme="minorHAnsi" w:hAnsiTheme="minorHAnsi"/>
        </w:rPr>
        <w:t>e</w:t>
      </w:r>
      <w:r w:rsidRPr="00CF6F94">
        <w:rPr>
          <w:rFonts w:asciiTheme="minorHAnsi" w:hAnsiTheme="minorHAnsi"/>
        </w:rPr>
        <w:t>partamentales de Cundinamarca, Boyacá, Archipiélago de San Andrés, Providencia y Sa</w:t>
      </w:r>
      <w:r w:rsidR="004036EC">
        <w:rPr>
          <w:rFonts w:asciiTheme="minorHAnsi" w:hAnsiTheme="minorHAnsi"/>
        </w:rPr>
        <w:t>nta Catalina,</w:t>
      </w:r>
      <w:r w:rsidRPr="00CF6F94">
        <w:rPr>
          <w:rFonts w:asciiTheme="minorHAnsi" w:hAnsiTheme="minorHAnsi"/>
        </w:rPr>
        <w:t xml:space="preserve"> Amazonas y Contralorías Municipales de Tunja y Soacha.</w:t>
      </w:r>
    </w:p>
    <w:p w:rsidR="00721F86" w:rsidRPr="00CF6F94" w:rsidRDefault="00721F86" w:rsidP="00CF6F94">
      <w:pPr>
        <w:jc w:val="both"/>
        <w:rPr>
          <w:rFonts w:asciiTheme="minorHAnsi" w:hAnsiTheme="minorHAnsi"/>
          <w:sz w:val="22"/>
          <w:szCs w:val="22"/>
        </w:rPr>
      </w:pPr>
    </w:p>
    <w:p w:rsidR="00CF6F94" w:rsidRPr="00A65638" w:rsidRDefault="00CB3524" w:rsidP="00CF6F94">
      <w:pPr>
        <w:pStyle w:val="Prrafodelista"/>
        <w:numPr>
          <w:ilvl w:val="0"/>
          <w:numId w:val="4"/>
        </w:numPr>
        <w:rPr>
          <w:rFonts w:asciiTheme="minorHAnsi" w:hAnsiTheme="minorHAnsi"/>
        </w:rPr>
      </w:pPr>
      <w:r w:rsidRPr="00025241">
        <w:rPr>
          <w:rFonts w:asciiTheme="minorHAnsi" w:hAnsiTheme="minorHAnsi"/>
          <w:b/>
        </w:rPr>
        <w:t>Gerencia Seccional III, con sede en la ciudad de Cali:</w:t>
      </w:r>
      <w:r w:rsidRPr="00CF6F94">
        <w:rPr>
          <w:rFonts w:asciiTheme="minorHAnsi" w:hAnsiTheme="minorHAnsi"/>
        </w:rPr>
        <w:t xml:space="preserve"> Para las Contralorías Departame</w:t>
      </w:r>
      <w:r w:rsidRPr="00CF6F94">
        <w:rPr>
          <w:rFonts w:asciiTheme="minorHAnsi" w:hAnsiTheme="minorHAnsi"/>
        </w:rPr>
        <w:t>n</w:t>
      </w:r>
      <w:r w:rsidRPr="00CF6F94">
        <w:rPr>
          <w:rFonts w:asciiTheme="minorHAnsi" w:hAnsiTheme="minorHAnsi"/>
        </w:rPr>
        <w:t>tales</w:t>
      </w:r>
      <w:r w:rsidR="00025241">
        <w:rPr>
          <w:rFonts w:asciiTheme="minorHAnsi" w:hAnsiTheme="minorHAnsi"/>
        </w:rPr>
        <w:t xml:space="preserve"> de</w:t>
      </w:r>
      <w:r w:rsidRPr="00CF6F94">
        <w:rPr>
          <w:rFonts w:asciiTheme="minorHAnsi" w:hAnsiTheme="minorHAnsi"/>
        </w:rPr>
        <w:t xml:space="preserve"> </w:t>
      </w:r>
      <w:r w:rsidR="00B53C68">
        <w:rPr>
          <w:rFonts w:asciiTheme="minorHAnsi" w:hAnsiTheme="minorHAnsi"/>
        </w:rPr>
        <w:t>Valle del Cauca,  Cauca y Chocó;</w:t>
      </w:r>
      <w:r w:rsidRPr="00CF6F94">
        <w:rPr>
          <w:rFonts w:asciiTheme="minorHAnsi" w:hAnsiTheme="minorHAnsi"/>
        </w:rPr>
        <w:t xml:space="preserve">  Contraloría Distrital de Buenaventura y </w:t>
      </w:r>
      <w:r w:rsidRPr="00A65638">
        <w:rPr>
          <w:rFonts w:asciiTheme="minorHAnsi" w:hAnsiTheme="minorHAnsi"/>
        </w:rPr>
        <w:t>Co</w:t>
      </w:r>
      <w:r w:rsidRPr="00A65638">
        <w:rPr>
          <w:rFonts w:asciiTheme="minorHAnsi" w:hAnsiTheme="minorHAnsi"/>
        </w:rPr>
        <w:t>n</w:t>
      </w:r>
      <w:r w:rsidRPr="00A65638">
        <w:rPr>
          <w:rFonts w:asciiTheme="minorHAnsi" w:hAnsiTheme="minorHAnsi"/>
        </w:rPr>
        <w:t>tralorías Municipales de Cali, Popayán, Palmira, Yumbo y Tuluá.</w:t>
      </w:r>
    </w:p>
    <w:p w:rsidR="00CF6F94" w:rsidRPr="00CF6F94" w:rsidRDefault="00CF6F94" w:rsidP="00CF6F94">
      <w:pPr>
        <w:jc w:val="both"/>
        <w:rPr>
          <w:rFonts w:asciiTheme="minorHAnsi" w:hAnsiTheme="minorHAnsi"/>
          <w:sz w:val="22"/>
          <w:szCs w:val="22"/>
        </w:rPr>
      </w:pPr>
    </w:p>
    <w:p w:rsidR="00452060" w:rsidRDefault="00CB3524" w:rsidP="00452060">
      <w:pPr>
        <w:pStyle w:val="Prrafodelista"/>
        <w:numPr>
          <w:ilvl w:val="0"/>
          <w:numId w:val="4"/>
        </w:numPr>
        <w:rPr>
          <w:rFonts w:asciiTheme="minorHAnsi" w:hAnsiTheme="minorHAnsi"/>
        </w:rPr>
      </w:pPr>
      <w:r w:rsidRPr="007A49E8">
        <w:rPr>
          <w:rFonts w:asciiTheme="minorHAnsi" w:hAnsiTheme="minorHAnsi"/>
          <w:b/>
        </w:rPr>
        <w:t>Gerencia Seccional IV, con sede en la ciudad de Bucaramanga:</w:t>
      </w:r>
      <w:r w:rsidR="007A49E8">
        <w:rPr>
          <w:rFonts w:asciiTheme="minorHAnsi" w:hAnsiTheme="minorHAnsi"/>
        </w:rPr>
        <w:t xml:space="preserve"> Para las Contralorías </w:t>
      </w:r>
      <w:r w:rsidRPr="00CF6F94">
        <w:rPr>
          <w:rFonts w:asciiTheme="minorHAnsi" w:hAnsiTheme="minorHAnsi"/>
        </w:rPr>
        <w:t>Departamentales de Santander y La Guajira,</w:t>
      </w:r>
      <w:r w:rsidR="007A49E8">
        <w:rPr>
          <w:rFonts w:asciiTheme="minorHAnsi" w:hAnsiTheme="minorHAnsi"/>
        </w:rPr>
        <w:t xml:space="preserve"> así como</w:t>
      </w:r>
      <w:r w:rsidRPr="00CF6F94">
        <w:rPr>
          <w:rFonts w:asciiTheme="minorHAnsi" w:hAnsiTheme="minorHAnsi"/>
        </w:rPr>
        <w:t xml:space="preserve"> las Contralorías Municipales de Bucaramanga, Barrancabermeja, Floridablanca</w:t>
      </w:r>
      <w:r w:rsidR="00452060">
        <w:rPr>
          <w:rFonts w:asciiTheme="minorHAnsi" w:hAnsiTheme="minorHAnsi"/>
        </w:rPr>
        <w:t xml:space="preserve"> y Girón.</w:t>
      </w:r>
    </w:p>
    <w:p w:rsidR="00BD7530" w:rsidRPr="00BD7530" w:rsidRDefault="00BD7530" w:rsidP="00BD7530">
      <w:pPr>
        <w:rPr>
          <w:rFonts w:asciiTheme="minorHAnsi" w:hAnsiTheme="minorHAnsi"/>
        </w:rPr>
      </w:pPr>
    </w:p>
    <w:p w:rsidR="00CF6F94" w:rsidRPr="00452060" w:rsidRDefault="00CB3524" w:rsidP="00452060">
      <w:pPr>
        <w:pStyle w:val="Prrafodelista"/>
        <w:numPr>
          <w:ilvl w:val="0"/>
          <w:numId w:val="4"/>
        </w:numPr>
        <w:rPr>
          <w:rFonts w:asciiTheme="minorHAnsi" w:hAnsiTheme="minorHAnsi"/>
        </w:rPr>
      </w:pPr>
      <w:r w:rsidRPr="000E67AB">
        <w:rPr>
          <w:rFonts w:asciiTheme="minorHAnsi" w:hAnsiTheme="minorHAnsi"/>
          <w:b/>
        </w:rPr>
        <w:t xml:space="preserve">Gerencia Seccional V, con sede en la ciudad de Barranquilla: </w:t>
      </w:r>
      <w:r w:rsidRPr="00452060">
        <w:rPr>
          <w:rFonts w:asciiTheme="minorHAnsi" w:hAnsiTheme="minorHAnsi"/>
        </w:rPr>
        <w:t>Para las Contralorías D</w:t>
      </w:r>
      <w:r w:rsidRPr="00452060">
        <w:rPr>
          <w:rFonts w:asciiTheme="minorHAnsi" w:hAnsiTheme="minorHAnsi"/>
        </w:rPr>
        <w:t>e</w:t>
      </w:r>
      <w:r w:rsidRPr="00452060">
        <w:rPr>
          <w:rFonts w:asciiTheme="minorHAnsi" w:hAnsiTheme="minorHAnsi"/>
        </w:rPr>
        <w:t>partamentales de Atlántico, Bolívar, Cesar, Magdalena</w:t>
      </w:r>
      <w:r w:rsidR="00B53C68">
        <w:rPr>
          <w:rFonts w:asciiTheme="minorHAnsi" w:hAnsiTheme="minorHAnsi"/>
        </w:rPr>
        <w:t>;</w:t>
      </w:r>
      <w:r w:rsidRPr="00452060">
        <w:rPr>
          <w:rFonts w:asciiTheme="minorHAnsi" w:hAnsiTheme="minorHAnsi"/>
        </w:rPr>
        <w:t xml:space="preserve"> las Distritales de Barranquilla, Cartagena y Santa Marta</w:t>
      </w:r>
      <w:r w:rsidR="00B53C68">
        <w:rPr>
          <w:rFonts w:asciiTheme="minorHAnsi" w:hAnsiTheme="minorHAnsi"/>
        </w:rPr>
        <w:t>, así como</w:t>
      </w:r>
      <w:r w:rsidRPr="00452060">
        <w:rPr>
          <w:rFonts w:asciiTheme="minorHAnsi" w:hAnsiTheme="minorHAnsi"/>
        </w:rPr>
        <w:t xml:space="preserve"> las Contralorías Municipales de Valledupar y Sol</w:t>
      </w:r>
      <w:r w:rsidRPr="00452060">
        <w:rPr>
          <w:rFonts w:asciiTheme="minorHAnsi" w:hAnsiTheme="minorHAnsi"/>
        </w:rPr>
        <w:t>e</w:t>
      </w:r>
      <w:r w:rsidRPr="00452060">
        <w:rPr>
          <w:rFonts w:asciiTheme="minorHAnsi" w:hAnsiTheme="minorHAnsi"/>
        </w:rPr>
        <w:t>dad.</w:t>
      </w:r>
    </w:p>
    <w:p w:rsidR="00CF6F94" w:rsidRPr="00CF6F94" w:rsidRDefault="00CF6F94" w:rsidP="00CF6F94">
      <w:pPr>
        <w:pStyle w:val="Prrafodelista"/>
        <w:rPr>
          <w:rFonts w:asciiTheme="minorHAnsi" w:hAnsiTheme="minorHAnsi"/>
        </w:rPr>
      </w:pPr>
    </w:p>
    <w:p w:rsidR="00CF6F94" w:rsidRPr="00CF6F94" w:rsidRDefault="00CB3524" w:rsidP="00CF6F94">
      <w:pPr>
        <w:pStyle w:val="Prrafodelista"/>
        <w:numPr>
          <w:ilvl w:val="0"/>
          <w:numId w:val="4"/>
        </w:numPr>
        <w:rPr>
          <w:rFonts w:asciiTheme="minorHAnsi" w:hAnsiTheme="minorHAnsi"/>
        </w:rPr>
      </w:pPr>
      <w:r w:rsidRPr="00B53C68">
        <w:rPr>
          <w:rFonts w:asciiTheme="minorHAnsi" w:hAnsiTheme="minorHAnsi"/>
          <w:b/>
        </w:rPr>
        <w:t>Gerencia Seccional VI, con sede en la ciudad de Neiva:</w:t>
      </w:r>
      <w:r w:rsidRPr="00CF6F94">
        <w:rPr>
          <w:rFonts w:asciiTheme="minorHAnsi" w:hAnsiTheme="minorHAnsi"/>
        </w:rPr>
        <w:t xml:space="preserve"> Para las Contralorías Depart</w:t>
      </w:r>
      <w:r w:rsidRPr="00CF6F94">
        <w:rPr>
          <w:rFonts w:asciiTheme="minorHAnsi" w:hAnsiTheme="minorHAnsi"/>
        </w:rPr>
        <w:t>a</w:t>
      </w:r>
      <w:r w:rsidRPr="00CF6F94">
        <w:rPr>
          <w:rFonts w:asciiTheme="minorHAnsi" w:hAnsiTheme="minorHAnsi"/>
        </w:rPr>
        <w:t>mentales de Hui</w:t>
      </w:r>
      <w:r w:rsidR="00FF2AC5">
        <w:rPr>
          <w:rFonts w:asciiTheme="minorHAnsi" w:hAnsiTheme="minorHAnsi"/>
        </w:rPr>
        <w:t xml:space="preserve">la, Caquetá, Tolima y Putumayo </w:t>
      </w:r>
      <w:r w:rsidRPr="00CF6F94">
        <w:rPr>
          <w:rFonts w:asciiTheme="minorHAnsi" w:hAnsiTheme="minorHAnsi"/>
        </w:rPr>
        <w:t>y las Contralorías Municipales de Neiva e Ibagué.</w:t>
      </w:r>
    </w:p>
    <w:p w:rsidR="00CF6F94" w:rsidRPr="00CF6F94" w:rsidRDefault="00CF6F94" w:rsidP="00CF6F94">
      <w:pPr>
        <w:jc w:val="both"/>
        <w:rPr>
          <w:rFonts w:asciiTheme="minorHAnsi" w:hAnsiTheme="minorHAnsi"/>
          <w:sz w:val="22"/>
          <w:szCs w:val="22"/>
        </w:rPr>
      </w:pPr>
    </w:p>
    <w:p w:rsidR="00CF6F94" w:rsidRPr="00CF6F94" w:rsidRDefault="00CB3524" w:rsidP="00CF6F94">
      <w:pPr>
        <w:pStyle w:val="Prrafodelista"/>
        <w:numPr>
          <w:ilvl w:val="0"/>
          <w:numId w:val="4"/>
        </w:numPr>
        <w:rPr>
          <w:rFonts w:asciiTheme="minorHAnsi" w:hAnsiTheme="minorHAnsi"/>
        </w:rPr>
      </w:pPr>
      <w:r w:rsidRPr="00C509E4">
        <w:rPr>
          <w:rFonts w:asciiTheme="minorHAnsi" w:hAnsiTheme="minorHAnsi"/>
          <w:b/>
        </w:rPr>
        <w:t>Gerencia Seccional VII, con sede en la ciudad de Armenia:</w:t>
      </w:r>
      <w:r w:rsidRPr="00CF6F94">
        <w:rPr>
          <w:rFonts w:asciiTheme="minorHAnsi" w:hAnsiTheme="minorHAnsi"/>
        </w:rPr>
        <w:t xml:space="preserve"> Para las Contralorías Depa</w:t>
      </w:r>
      <w:r w:rsidRPr="00CF6F94">
        <w:rPr>
          <w:rFonts w:asciiTheme="minorHAnsi" w:hAnsiTheme="minorHAnsi"/>
        </w:rPr>
        <w:t>r</w:t>
      </w:r>
      <w:r w:rsidRPr="00CF6F94">
        <w:rPr>
          <w:rFonts w:asciiTheme="minorHAnsi" w:hAnsiTheme="minorHAnsi"/>
        </w:rPr>
        <w:t>tamentales</w:t>
      </w:r>
      <w:r w:rsidR="00C14FC8">
        <w:rPr>
          <w:rFonts w:asciiTheme="minorHAnsi" w:hAnsiTheme="minorHAnsi"/>
        </w:rPr>
        <w:t xml:space="preserve"> de Quindío, Caldas y Risaralda, así como</w:t>
      </w:r>
      <w:r w:rsidRPr="00CF6F94">
        <w:rPr>
          <w:rFonts w:asciiTheme="minorHAnsi" w:hAnsiTheme="minorHAnsi"/>
        </w:rPr>
        <w:t xml:space="preserve"> las Contralorías Municipales de Armenia, Manizales, Pereira y Dosquebradas.</w:t>
      </w:r>
    </w:p>
    <w:p w:rsidR="00CF6F94" w:rsidRPr="00CF6F94" w:rsidRDefault="00CF6F94" w:rsidP="00CF6F94">
      <w:pPr>
        <w:jc w:val="both"/>
        <w:rPr>
          <w:rFonts w:asciiTheme="minorHAnsi" w:hAnsiTheme="minorHAnsi"/>
          <w:sz w:val="22"/>
          <w:szCs w:val="22"/>
        </w:rPr>
      </w:pPr>
    </w:p>
    <w:p w:rsidR="00CF6F94" w:rsidRPr="00CF6F94" w:rsidRDefault="00CB3524" w:rsidP="00CF6F94">
      <w:pPr>
        <w:pStyle w:val="Prrafodelista"/>
        <w:numPr>
          <w:ilvl w:val="0"/>
          <w:numId w:val="4"/>
        </w:numPr>
        <w:rPr>
          <w:rFonts w:asciiTheme="minorHAnsi" w:hAnsiTheme="minorHAnsi"/>
        </w:rPr>
      </w:pPr>
      <w:r w:rsidRPr="00B06212">
        <w:rPr>
          <w:rFonts w:asciiTheme="minorHAnsi" w:hAnsiTheme="minorHAnsi"/>
          <w:b/>
        </w:rPr>
        <w:t>Gerencia Seccional VIII, con sede en la ciudad de Cúcuta:</w:t>
      </w:r>
      <w:r w:rsidRPr="00CF6F94">
        <w:rPr>
          <w:rFonts w:asciiTheme="minorHAnsi" w:hAnsiTheme="minorHAnsi"/>
        </w:rPr>
        <w:t xml:space="preserve"> Para las Contralorías Depa</w:t>
      </w:r>
      <w:r w:rsidRPr="00CF6F94">
        <w:rPr>
          <w:rFonts w:asciiTheme="minorHAnsi" w:hAnsiTheme="minorHAnsi"/>
        </w:rPr>
        <w:t>r</w:t>
      </w:r>
      <w:r w:rsidRPr="00CF6F94">
        <w:rPr>
          <w:rFonts w:asciiTheme="minorHAnsi" w:hAnsiTheme="minorHAnsi"/>
        </w:rPr>
        <w:t>tamentales de Norte de Santander, Arauca y Guaviare</w:t>
      </w:r>
      <w:r w:rsidR="00C508D6">
        <w:rPr>
          <w:rFonts w:asciiTheme="minorHAnsi" w:hAnsiTheme="minorHAnsi"/>
        </w:rPr>
        <w:t>, así como</w:t>
      </w:r>
      <w:r w:rsidRPr="00CF6F94">
        <w:rPr>
          <w:rFonts w:asciiTheme="minorHAnsi" w:hAnsiTheme="minorHAnsi"/>
        </w:rPr>
        <w:t xml:space="preserve"> la Contraloría Munic</w:t>
      </w:r>
      <w:r w:rsidRPr="00CF6F94">
        <w:rPr>
          <w:rFonts w:asciiTheme="minorHAnsi" w:hAnsiTheme="minorHAnsi"/>
        </w:rPr>
        <w:t>i</w:t>
      </w:r>
      <w:r w:rsidRPr="00CF6F94">
        <w:rPr>
          <w:rFonts w:asciiTheme="minorHAnsi" w:hAnsiTheme="minorHAnsi"/>
        </w:rPr>
        <w:t>pal de Cúcuta.</w:t>
      </w:r>
    </w:p>
    <w:p w:rsidR="00CF6F94" w:rsidRPr="00CF6F94" w:rsidRDefault="00CF6F94" w:rsidP="00CF6F94">
      <w:pPr>
        <w:jc w:val="both"/>
        <w:rPr>
          <w:rFonts w:asciiTheme="minorHAnsi" w:hAnsiTheme="minorHAnsi"/>
          <w:sz w:val="22"/>
          <w:szCs w:val="22"/>
        </w:rPr>
      </w:pPr>
    </w:p>
    <w:p w:rsidR="00CF6F94" w:rsidRPr="00CF6F94" w:rsidRDefault="00CB3524" w:rsidP="00CF6F94">
      <w:pPr>
        <w:pStyle w:val="Prrafodelista"/>
        <w:numPr>
          <w:ilvl w:val="0"/>
          <w:numId w:val="4"/>
        </w:numPr>
        <w:rPr>
          <w:rFonts w:asciiTheme="minorHAnsi" w:hAnsiTheme="minorHAnsi"/>
        </w:rPr>
      </w:pPr>
      <w:r w:rsidRPr="00C508D6">
        <w:rPr>
          <w:rFonts w:asciiTheme="minorHAnsi" w:hAnsiTheme="minorHAnsi"/>
          <w:b/>
        </w:rPr>
        <w:t xml:space="preserve">Gerencia Seccional IX, con sede en la ciudad de Villavicencio: </w:t>
      </w:r>
      <w:r w:rsidRPr="00CF6F94">
        <w:rPr>
          <w:rFonts w:asciiTheme="minorHAnsi" w:hAnsiTheme="minorHAnsi"/>
        </w:rPr>
        <w:t>Para las Contralorías D</w:t>
      </w:r>
      <w:r w:rsidRPr="00CF6F94">
        <w:rPr>
          <w:rFonts w:asciiTheme="minorHAnsi" w:hAnsiTheme="minorHAnsi"/>
        </w:rPr>
        <w:t>e</w:t>
      </w:r>
      <w:r w:rsidRPr="00CF6F94">
        <w:rPr>
          <w:rFonts w:asciiTheme="minorHAnsi" w:hAnsiTheme="minorHAnsi"/>
        </w:rPr>
        <w:t>partamentales de Meta, Guainía, Vichada, Casanare, y Vaupés</w:t>
      </w:r>
      <w:r w:rsidR="00C508D6">
        <w:rPr>
          <w:rFonts w:asciiTheme="minorHAnsi" w:hAnsiTheme="minorHAnsi"/>
        </w:rPr>
        <w:t>, así como</w:t>
      </w:r>
      <w:r w:rsidRPr="00CF6F94">
        <w:rPr>
          <w:rFonts w:asciiTheme="minorHAnsi" w:hAnsiTheme="minorHAnsi"/>
        </w:rPr>
        <w:t xml:space="preserve"> la Contraloría Municipal de Villavicencio.</w:t>
      </w:r>
    </w:p>
    <w:p w:rsidR="00CF6F94" w:rsidRPr="00CF6F94" w:rsidRDefault="00CF6F94" w:rsidP="00CF6F94">
      <w:pPr>
        <w:jc w:val="both"/>
        <w:rPr>
          <w:rFonts w:asciiTheme="minorHAnsi" w:hAnsiTheme="minorHAnsi"/>
          <w:sz w:val="22"/>
          <w:szCs w:val="22"/>
        </w:rPr>
      </w:pPr>
    </w:p>
    <w:p w:rsidR="00CB3524" w:rsidRPr="00CF6F94" w:rsidRDefault="00CB3524" w:rsidP="00CF6F94">
      <w:pPr>
        <w:pStyle w:val="Prrafodelista"/>
        <w:numPr>
          <w:ilvl w:val="0"/>
          <w:numId w:val="4"/>
        </w:numPr>
        <w:rPr>
          <w:rFonts w:asciiTheme="minorHAnsi" w:hAnsiTheme="minorHAnsi"/>
        </w:rPr>
      </w:pPr>
      <w:r w:rsidRPr="000E22D1">
        <w:rPr>
          <w:rFonts w:asciiTheme="minorHAnsi" w:hAnsiTheme="minorHAnsi"/>
          <w:b/>
        </w:rPr>
        <w:t>Gerencia Seccional X, con sede en la ciudad de Montería:</w:t>
      </w:r>
      <w:r w:rsidRPr="00CF6F94">
        <w:rPr>
          <w:rFonts w:asciiTheme="minorHAnsi" w:hAnsiTheme="minorHAnsi"/>
        </w:rPr>
        <w:t xml:space="preserve"> Para las Contralorías Depa</w:t>
      </w:r>
      <w:r w:rsidRPr="00CF6F94">
        <w:rPr>
          <w:rFonts w:asciiTheme="minorHAnsi" w:hAnsiTheme="minorHAnsi"/>
        </w:rPr>
        <w:t>r</w:t>
      </w:r>
      <w:r w:rsidRPr="00CF6F94">
        <w:rPr>
          <w:rFonts w:asciiTheme="minorHAnsi" w:hAnsiTheme="minorHAnsi"/>
        </w:rPr>
        <w:t>tamentales de Córdoba y Sucre</w:t>
      </w:r>
      <w:r w:rsidR="000E22D1">
        <w:rPr>
          <w:rFonts w:asciiTheme="minorHAnsi" w:hAnsiTheme="minorHAnsi"/>
        </w:rPr>
        <w:t>, así como</w:t>
      </w:r>
      <w:r w:rsidRPr="00CF6F94">
        <w:rPr>
          <w:rFonts w:asciiTheme="minorHAnsi" w:hAnsiTheme="minorHAnsi"/>
        </w:rPr>
        <w:t xml:space="preserve"> las Contralorías Municipales de Montería y Sincelejo.</w:t>
      </w:r>
    </w:p>
    <w:p w:rsidR="00CB3524" w:rsidRPr="00CF6F94" w:rsidRDefault="00CB3524" w:rsidP="00CF6F94">
      <w:pPr>
        <w:jc w:val="both"/>
        <w:rPr>
          <w:rFonts w:asciiTheme="minorHAnsi" w:hAnsiTheme="minorHAnsi"/>
          <w:sz w:val="22"/>
          <w:szCs w:val="22"/>
        </w:rPr>
      </w:pPr>
    </w:p>
    <w:p w:rsidR="00CB3524" w:rsidRPr="00CF6F94" w:rsidRDefault="00CB3524" w:rsidP="00CF6F94">
      <w:pPr>
        <w:jc w:val="both"/>
        <w:rPr>
          <w:rFonts w:asciiTheme="minorHAnsi" w:hAnsiTheme="minorHAnsi"/>
          <w:sz w:val="22"/>
          <w:szCs w:val="22"/>
        </w:rPr>
      </w:pPr>
      <w:r w:rsidRPr="000E22D1">
        <w:rPr>
          <w:rFonts w:asciiTheme="minorHAnsi" w:hAnsiTheme="minorHAnsi"/>
          <w:b/>
          <w:sz w:val="22"/>
          <w:szCs w:val="22"/>
        </w:rPr>
        <w:t xml:space="preserve">ARTICULO 3º. </w:t>
      </w:r>
      <w:r w:rsidR="000E22D1">
        <w:rPr>
          <w:rFonts w:asciiTheme="minorHAnsi" w:hAnsiTheme="minorHAnsi"/>
          <w:b/>
          <w:sz w:val="22"/>
          <w:szCs w:val="22"/>
        </w:rPr>
        <w:t xml:space="preserve">VIGILANCIA </w:t>
      </w:r>
      <w:r w:rsidR="00C21F3A">
        <w:rPr>
          <w:rFonts w:asciiTheme="minorHAnsi" w:hAnsiTheme="minorHAnsi"/>
          <w:b/>
          <w:sz w:val="22"/>
          <w:szCs w:val="22"/>
        </w:rPr>
        <w:t xml:space="preserve">Y CONTROL </w:t>
      </w:r>
      <w:r w:rsidR="000E22D1">
        <w:rPr>
          <w:rFonts w:asciiTheme="minorHAnsi" w:hAnsiTheme="minorHAnsi"/>
          <w:b/>
          <w:sz w:val="22"/>
          <w:szCs w:val="22"/>
        </w:rPr>
        <w:t xml:space="preserve">FISCAL A LOS FONDOS DE BIENESTAR SOCIAL.- </w:t>
      </w:r>
      <w:r w:rsidRPr="00CF6F94">
        <w:rPr>
          <w:rFonts w:asciiTheme="minorHAnsi" w:hAnsiTheme="minorHAnsi"/>
          <w:sz w:val="22"/>
          <w:szCs w:val="22"/>
        </w:rPr>
        <w:t xml:space="preserve">La vigilancia </w:t>
      </w:r>
      <w:r w:rsidR="004C7165">
        <w:rPr>
          <w:rFonts w:asciiTheme="minorHAnsi" w:hAnsiTheme="minorHAnsi"/>
          <w:sz w:val="22"/>
          <w:szCs w:val="22"/>
        </w:rPr>
        <w:t xml:space="preserve">y </w:t>
      </w:r>
      <w:r w:rsidR="00B81AF2">
        <w:rPr>
          <w:rFonts w:asciiTheme="minorHAnsi" w:hAnsiTheme="minorHAnsi"/>
          <w:sz w:val="22"/>
          <w:szCs w:val="22"/>
        </w:rPr>
        <w:t xml:space="preserve">el </w:t>
      </w:r>
      <w:r w:rsidR="004C7165">
        <w:rPr>
          <w:rFonts w:asciiTheme="minorHAnsi" w:hAnsiTheme="minorHAnsi"/>
          <w:sz w:val="22"/>
          <w:szCs w:val="22"/>
        </w:rPr>
        <w:t xml:space="preserve">control </w:t>
      </w:r>
      <w:r w:rsidRPr="00CF6F94">
        <w:rPr>
          <w:rFonts w:asciiTheme="minorHAnsi" w:hAnsiTheme="minorHAnsi"/>
          <w:sz w:val="22"/>
          <w:szCs w:val="22"/>
        </w:rPr>
        <w:t>de la gestión fiscal de</w:t>
      </w:r>
      <w:r w:rsidR="00291EA4">
        <w:rPr>
          <w:rFonts w:asciiTheme="minorHAnsi" w:hAnsiTheme="minorHAnsi"/>
          <w:sz w:val="22"/>
          <w:szCs w:val="22"/>
        </w:rPr>
        <w:t>l Fondo de Bienestar Social de la Contraloría General de la República y de los fondos de bienestar s</w:t>
      </w:r>
      <w:r w:rsidRPr="00CF6F94">
        <w:rPr>
          <w:rFonts w:asciiTheme="minorHAnsi" w:hAnsiTheme="minorHAnsi"/>
          <w:sz w:val="22"/>
          <w:szCs w:val="22"/>
        </w:rPr>
        <w:t>ocial de las contralorías departamentales, municipales y distritales, será</w:t>
      </w:r>
      <w:r w:rsidR="00E917E0">
        <w:rPr>
          <w:rFonts w:asciiTheme="minorHAnsi" w:hAnsiTheme="minorHAnsi"/>
          <w:sz w:val="22"/>
          <w:szCs w:val="22"/>
        </w:rPr>
        <w:t>n ejercidos</w:t>
      </w:r>
      <w:r w:rsidRPr="00CF6F94">
        <w:rPr>
          <w:rFonts w:asciiTheme="minorHAnsi" w:hAnsiTheme="minorHAnsi"/>
          <w:sz w:val="22"/>
          <w:szCs w:val="22"/>
        </w:rPr>
        <w:t xml:space="preserve"> por </w:t>
      </w:r>
      <w:r w:rsidR="00FE58FF">
        <w:rPr>
          <w:rFonts w:asciiTheme="minorHAnsi" w:hAnsiTheme="minorHAnsi"/>
          <w:sz w:val="22"/>
          <w:szCs w:val="22"/>
        </w:rPr>
        <w:t xml:space="preserve">la Dirección de Control Fiscal </w:t>
      </w:r>
      <w:r w:rsidR="00F96646">
        <w:rPr>
          <w:rFonts w:asciiTheme="minorHAnsi" w:hAnsiTheme="minorHAnsi"/>
          <w:sz w:val="22"/>
          <w:szCs w:val="22"/>
        </w:rPr>
        <w:t xml:space="preserve">y </w:t>
      </w:r>
      <w:r w:rsidRPr="00CF6F94">
        <w:rPr>
          <w:rFonts w:asciiTheme="minorHAnsi" w:hAnsiTheme="minorHAnsi"/>
          <w:sz w:val="22"/>
          <w:szCs w:val="22"/>
        </w:rPr>
        <w:t xml:space="preserve">la gerencia seccional correspondiente, </w:t>
      </w:r>
      <w:r w:rsidR="003C4A7D">
        <w:rPr>
          <w:rFonts w:asciiTheme="minorHAnsi" w:hAnsiTheme="minorHAnsi"/>
          <w:sz w:val="22"/>
          <w:szCs w:val="22"/>
        </w:rPr>
        <w:t xml:space="preserve">según corresponda, </w:t>
      </w:r>
      <w:r w:rsidRPr="00CF6F94">
        <w:rPr>
          <w:rFonts w:asciiTheme="minorHAnsi" w:hAnsiTheme="minorHAnsi"/>
          <w:sz w:val="22"/>
          <w:szCs w:val="22"/>
        </w:rPr>
        <w:t>de acuerdo con la distribución de competencias contenidas en el artículo segundo del presente acto administrativo</w:t>
      </w:r>
      <w:r w:rsidR="000E22D1">
        <w:rPr>
          <w:rFonts w:asciiTheme="minorHAnsi" w:hAnsiTheme="minorHAnsi"/>
          <w:sz w:val="22"/>
          <w:szCs w:val="22"/>
        </w:rPr>
        <w:t xml:space="preserve"> y con lo dispuesto en el Plan General de Auditorías de cada vigencia</w:t>
      </w:r>
      <w:r w:rsidRPr="00CF6F94">
        <w:rPr>
          <w:rFonts w:asciiTheme="minorHAnsi" w:hAnsiTheme="minorHAnsi"/>
          <w:sz w:val="22"/>
          <w:szCs w:val="22"/>
        </w:rPr>
        <w:t>.</w:t>
      </w:r>
    </w:p>
    <w:p w:rsidR="00CB3524" w:rsidRPr="00CF6F94" w:rsidRDefault="00CB3524" w:rsidP="00CF6F94">
      <w:pPr>
        <w:jc w:val="both"/>
        <w:rPr>
          <w:rFonts w:asciiTheme="minorHAnsi" w:hAnsiTheme="minorHAnsi"/>
          <w:sz w:val="22"/>
          <w:szCs w:val="22"/>
        </w:rPr>
      </w:pPr>
    </w:p>
    <w:p w:rsidR="00CB3524" w:rsidRPr="00CF6F94" w:rsidRDefault="00CB3524" w:rsidP="00CF6F94">
      <w:pPr>
        <w:jc w:val="both"/>
        <w:rPr>
          <w:rFonts w:asciiTheme="minorHAnsi" w:hAnsiTheme="minorHAnsi"/>
          <w:sz w:val="22"/>
          <w:szCs w:val="22"/>
        </w:rPr>
      </w:pPr>
      <w:r w:rsidRPr="00FE50DF">
        <w:rPr>
          <w:rFonts w:asciiTheme="minorHAnsi" w:hAnsiTheme="minorHAnsi"/>
          <w:b/>
          <w:sz w:val="22"/>
          <w:szCs w:val="22"/>
        </w:rPr>
        <w:t>ARTICULO 4º:</w:t>
      </w:r>
      <w:r w:rsidRPr="00CF6F94">
        <w:rPr>
          <w:rFonts w:asciiTheme="minorHAnsi" w:hAnsiTheme="minorHAnsi"/>
          <w:sz w:val="22"/>
          <w:szCs w:val="22"/>
        </w:rPr>
        <w:t xml:space="preserve"> Comunicar el contenido de la presente Resolución a la Dirección de Control Fiscal, Gerencias Seccionales, Oficina de Planeación, Secretaría General</w:t>
      </w:r>
      <w:r w:rsidR="00FE50DF">
        <w:rPr>
          <w:rFonts w:asciiTheme="minorHAnsi" w:hAnsiTheme="minorHAnsi"/>
          <w:sz w:val="22"/>
          <w:szCs w:val="22"/>
        </w:rPr>
        <w:t>, por conducto de los respectivos directores, gerentes y jefes de oficina</w:t>
      </w:r>
      <w:r w:rsidRPr="00CF6F94">
        <w:rPr>
          <w:rFonts w:asciiTheme="minorHAnsi" w:hAnsiTheme="minorHAnsi"/>
          <w:sz w:val="22"/>
          <w:szCs w:val="22"/>
        </w:rPr>
        <w:t xml:space="preserve">. </w:t>
      </w:r>
    </w:p>
    <w:p w:rsidR="00CB3524" w:rsidRPr="00CF6F94" w:rsidRDefault="00CB3524" w:rsidP="00CF6F94">
      <w:pPr>
        <w:jc w:val="both"/>
        <w:rPr>
          <w:rFonts w:asciiTheme="minorHAnsi" w:hAnsiTheme="minorHAnsi"/>
          <w:sz w:val="22"/>
          <w:szCs w:val="22"/>
        </w:rPr>
      </w:pPr>
    </w:p>
    <w:p w:rsidR="00CB3524" w:rsidRPr="00CF6F94" w:rsidRDefault="00CB3524" w:rsidP="00CF6F94">
      <w:pPr>
        <w:jc w:val="both"/>
        <w:rPr>
          <w:rFonts w:asciiTheme="minorHAnsi" w:hAnsiTheme="minorHAnsi"/>
          <w:sz w:val="22"/>
          <w:szCs w:val="22"/>
        </w:rPr>
      </w:pPr>
      <w:r w:rsidRPr="00FE50DF">
        <w:rPr>
          <w:rFonts w:asciiTheme="minorHAnsi" w:hAnsiTheme="minorHAnsi"/>
          <w:b/>
          <w:sz w:val="22"/>
          <w:szCs w:val="22"/>
        </w:rPr>
        <w:t>ARTÍCULO 5º:</w:t>
      </w:r>
      <w:r w:rsidRPr="00CF6F94">
        <w:rPr>
          <w:rFonts w:asciiTheme="minorHAnsi" w:hAnsiTheme="minorHAnsi"/>
          <w:sz w:val="22"/>
          <w:szCs w:val="22"/>
        </w:rPr>
        <w:t xml:space="preserve"> La presente Resolución rige a partir de la fecha de su publicación en el Diario Oficial y deroga la Resolución Orgánica No. 004 de 9 de abril de 2018.</w:t>
      </w:r>
    </w:p>
    <w:p w:rsidR="000A7CF9" w:rsidRDefault="000A7CF9" w:rsidP="009471DA">
      <w:pPr>
        <w:rPr>
          <w:rFonts w:asciiTheme="minorHAnsi" w:hAnsiTheme="minorHAnsi"/>
          <w:b/>
          <w:sz w:val="22"/>
          <w:szCs w:val="22"/>
        </w:rPr>
      </w:pPr>
    </w:p>
    <w:p w:rsidR="00CB3524" w:rsidRPr="00CF6F94" w:rsidRDefault="00CB3524" w:rsidP="00CF6F94">
      <w:pPr>
        <w:jc w:val="center"/>
        <w:rPr>
          <w:rFonts w:asciiTheme="minorHAnsi" w:hAnsiTheme="minorHAnsi"/>
          <w:b/>
          <w:sz w:val="22"/>
          <w:szCs w:val="22"/>
        </w:rPr>
      </w:pPr>
      <w:r w:rsidRPr="00CF6F94">
        <w:rPr>
          <w:rFonts w:asciiTheme="minorHAnsi" w:hAnsiTheme="minorHAnsi"/>
          <w:b/>
          <w:sz w:val="22"/>
          <w:szCs w:val="22"/>
        </w:rPr>
        <w:t>COMUNÍQUESE, PUBLÍQUESE Y CÚMPLASE</w:t>
      </w:r>
    </w:p>
    <w:p w:rsidR="00CB3524" w:rsidRPr="00CF6F94" w:rsidRDefault="00CB3524" w:rsidP="00CF6F94">
      <w:pPr>
        <w:jc w:val="both"/>
        <w:rPr>
          <w:rFonts w:asciiTheme="minorHAnsi" w:hAnsiTheme="minorHAnsi"/>
          <w:sz w:val="22"/>
          <w:szCs w:val="22"/>
        </w:rPr>
      </w:pPr>
    </w:p>
    <w:p w:rsidR="00CB3524" w:rsidRPr="00CF6F94" w:rsidRDefault="00CB3524" w:rsidP="00CF6F94">
      <w:pPr>
        <w:jc w:val="both"/>
        <w:rPr>
          <w:rFonts w:asciiTheme="minorHAnsi" w:hAnsiTheme="minorHAnsi"/>
          <w:sz w:val="22"/>
          <w:szCs w:val="22"/>
        </w:rPr>
      </w:pPr>
      <w:r w:rsidRPr="00CF6F94">
        <w:rPr>
          <w:rFonts w:asciiTheme="minorHAnsi" w:hAnsiTheme="minorHAnsi"/>
          <w:sz w:val="22"/>
          <w:szCs w:val="22"/>
        </w:rPr>
        <w:t xml:space="preserve">Dada en Bogotá, D.C., a los </w:t>
      </w:r>
      <w:r w:rsidR="003C4A7D">
        <w:rPr>
          <w:rFonts w:asciiTheme="minorHAnsi" w:hAnsiTheme="minorHAnsi"/>
          <w:sz w:val="22"/>
          <w:szCs w:val="22"/>
        </w:rPr>
        <w:t xml:space="preserve">       </w:t>
      </w:r>
    </w:p>
    <w:p w:rsidR="00CB3524" w:rsidRPr="00CF6F94" w:rsidRDefault="00CB3524" w:rsidP="00CF6F94">
      <w:pPr>
        <w:jc w:val="both"/>
        <w:rPr>
          <w:rFonts w:asciiTheme="minorHAnsi" w:hAnsiTheme="minorHAnsi"/>
          <w:sz w:val="22"/>
          <w:szCs w:val="22"/>
        </w:rPr>
      </w:pPr>
    </w:p>
    <w:p w:rsidR="00CB3524" w:rsidRPr="00CF6F94" w:rsidRDefault="00CB3524" w:rsidP="003C4A7D">
      <w:pPr>
        <w:rPr>
          <w:rFonts w:asciiTheme="minorHAnsi" w:hAnsiTheme="minorHAnsi"/>
          <w:b/>
          <w:sz w:val="22"/>
          <w:szCs w:val="22"/>
        </w:rPr>
      </w:pPr>
    </w:p>
    <w:p w:rsidR="00CB3524" w:rsidRPr="00CF6F94" w:rsidRDefault="00CB3524" w:rsidP="00CF6F94">
      <w:pPr>
        <w:jc w:val="center"/>
        <w:rPr>
          <w:rFonts w:asciiTheme="minorHAnsi" w:hAnsiTheme="minorHAnsi"/>
          <w:b/>
          <w:sz w:val="22"/>
          <w:szCs w:val="22"/>
        </w:rPr>
      </w:pPr>
    </w:p>
    <w:p w:rsidR="00CB3524" w:rsidRPr="00CF6F94" w:rsidRDefault="00CB3524" w:rsidP="00CF6F94">
      <w:pPr>
        <w:jc w:val="center"/>
        <w:rPr>
          <w:rFonts w:asciiTheme="minorHAnsi" w:hAnsiTheme="minorHAnsi"/>
          <w:b/>
          <w:sz w:val="22"/>
          <w:szCs w:val="22"/>
        </w:rPr>
      </w:pPr>
      <w:r w:rsidRPr="00CF6F94">
        <w:rPr>
          <w:rFonts w:asciiTheme="minorHAnsi" w:hAnsiTheme="minorHAnsi"/>
          <w:b/>
          <w:sz w:val="22"/>
          <w:szCs w:val="22"/>
        </w:rPr>
        <w:t>ALMA CARMENZA ERAZO MONTENEGRO</w:t>
      </w:r>
    </w:p>
    <w:p w:rsidR="00CB3524" w:rsidRPr="00CF6F94" w:rsidRDefault="00CB3524" w:rsidP="00CF6F94">
      <w:pPr>
        <w:jc w:val="center"/>
        <w:rPr>
          <w:rFonts w:asciiTheme="minorHAnsi" w:hAnsiTheme="minorHAnsi"/>
          <w:b/>
          <w:sz w:val="22"/>
          <w:szCs w:val="22"/>
        </w:rPr>
      </w:pPr>
      <w:r w:rsidRPr="00CF6F94">
        <w:rPr>
          <w:rFonts w:asciiTheme="minorHAnsi" w:hAnsiTheme="minorHAnsi"/>
          <w:b/>
          <w:sz w:val="22"/>
          <w:szCs w:val="22"/>
        </w:rPr>
        <w:t>Auditora General de la República</w:t>
      </w:r>
    </w:p>
    <w:tbl>
      <w:tblPr>
        <w:tblW w:w="5000" w:type="pct"/>
        <w:jc w:val="center"/>
        <w:tblCellMar>
          <w:left w:w="10" w:type="dxa"/>
          <w:right w:w="10" w:type="dxa"/>
        </w:tblCellMar>
        <w:tblLook w:val="0000" w:firstRow="0" w:lastRow="0" w:firstColumn="0" w:lastColumn="0" w:noHBand="0" w:noVBand="0"/>
      </w:tblPr>
      <w:tblGrid>
        <w:gridCol w:w="1193"/>
        <w:gridCol w:w="3937"/>
        <w:gridCol w:w="2819"/>
        <w:gridCol w:w="954"/>
      </w:tblGrid>
      <w:tr w:rsidR="00CB3524" w:rsidRPr="00CF6F94" w:rsidTr="006715F8">
        <w:trPr>
          <w:jc w:val="center"/>
        </w:trPr>
        <w:tc>
          <w:tcPr>
            <w:tcW w:w="1193"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 </w:t>
            </w:r>
          </w:p>
        </w:tc>
        <w:tc>
          <w:tcPr>
            <w:tcW w:w="3937" w:type="dxa"/>
            <w:tcBorders>
              <w:top w:val="single" w:sz="8" w:space="0" w:color="000000"/>
              <w:bottom w:val="single" w:sz="4" w:space="0" w:color="000000"/>
              <w:right w:val="single" w:sz="4"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Nombre y Apellido</w:t>
            </w:r>
          </w:p>
        </w:tc>
        <w:tc>
          <w:tcPr>
            <w:tcW w:w="2819" w:type="dxa"/>
            <w:tcBorders>
              <w:top w:val="single" w:sz="8" w:space="0" w:color="000000"/>
              <w:bottom w:val="single" w:sz="4" w:space="0" w:color="000000"/>
              <w:right w:val="single" w:sz="4"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 xml:space="preserve">Firma </w:t>
            </w:r>
          </w:p>
        </w:tc>
        <w:tc>
          <w:tcPr>
            <w:tcW w:w="954" w:type="dxa"/>
            <w:tcBorders>
              <w:top w:val="single" w:sz="8" w:space="0" w:color="000000"/>
              <w:bottom w:val="single" w:sz="4" w:space="0" w:color="000000"/>
              <w:right w:val="single" w:sz="8" w:space="0" w:color="000000"/>
            </w:tcBorders>
            <w:shd w:val="clear" w:color="auto" w:fill="auto"/>
            <w:noWrap/>
            <w:tcMar>
              <w:top w:w="0" w:type="dxa"/>
              <w:left w:w="57" w:type="dxa"/>
              <w:bottom w:w="0" w:type="dxa"/>
              <w:right w:w="57" w:type="dxa"/>
            </w:tcMar>
            <w:vAlign w:val="center"/>
          </w:tcPr>
          <w:p w:rsidR="00CB3524" w:rsidRPr="003C4A7D" w:rsidRDefault="00CB3524" w:rsidP="008130D5">
            <w:pPr>
              <w:rPr>
                <w:rFonts w:asciiTheme="minorHAnsi" w:hAnsiTheme="minorHAnsi"/>
                <w:sz w:val="12"/>
                <w:szCs w:val="12"/>
              </w:rPr>
            </w:pPr>
            <w:r w:rsidRPr="003C4A7D">
              <w:rPr>
                <w:rFonts w:asciiTheme="minorHAnsi" w:hAnsiTheme="minorHAnsi"/>
                <w:sz w:val="12"/>
                <w:szCs w:val="12"/>
              </w:rPr>
              <w:t>Fecha</w:t>
            </w:r>
          </w:p>
        </w:tc>
      </w:tr>
      <w:tr w:rsidR="00CB3524" w:rsidRPr="00CF6F94" w:rsidTr="006715F8">
        <w:trPr>
          <w:jc w:val="center"/>
        </w:trPr>
        <w:tc>
          <w:tcPr>
            <w:tcW w:w="1193" w:type="dxa"/>
            <w:tcBorders>
              <w:left w:val="single" w:sz="8" w:space="0" w:color="000000"/>
              <w:bottom w:val="single" w:sz="4" w:space="0" w:color="000000"/>
              <w:right w:val="single" w:sz="4"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Proyectado por:</w:t>
            </w:r>
          </w:p>
        </w:tc>
        <w:tc>
          <w:tcPr>
            <w:tcW w:w="3937" w:type="dxa"/>
            <w:tcBorders>
              <w:bottom w:val="single" w:sz="4" w:space="0" w:color="000000"/>
              <w:right w:val="single" w:sz="4"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Vilma Cecilia Suárez Blanco y Lina María García García</w:t>
            </w:r>
          </w:p>
        </w:tc>
        <w:tc>
          <w:tcPr>
            <w:tcW w:w="2819" w:type="dxa"/>
            <w:tcBorders>
              <w:bottom w:val="single" w:sz="4" w:space="0" w:color="000000"/>
              <w:right w:val="single" w:sz="4"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 </w:t>
            </w:r>
          </w:p>
        </w:tc>
        <w:tc>
          <w:tcPr>
            <w:tcW w:w="954" w:type="dxa"/>
            <w:tcBorders>
              <w:bottom w:val="single" w:sz="4" w:space="0" w:color="000000"/>
              <w:right w:val="single" w:sz="8"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p>
        </w:tc>
      </w:tr>
      <w:tr w:rsidR="00CB3524" w:rsidRPr="00CF6F94" w:rsidTr="006715F8">
        <w:trPr>
          <w:jc w:val="center"/>
        </w:trPr>
        <w:tc>
          <w:tcPr>
            <w:tcW w:w="1193" w:type="dxa"/>
            <w:tcBorders>
              <w:left w:val="single" w:sz="8" w:space="0" w:color="000000"/>
              <w:bottom w:val="single" w:sz="4" w:space="0" w:color="000000"/>
              <w:right w:val="single" w:sz="4"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Revisado por:</w:t>
            </w:r>
          </w:p>
        </w:tc>
        <w:tc>
          <w:tcPr>
            <w:tcW w:w="3937" w:type="dxa"/>
            <w:tcBorders>
              <w:bottom w:val="single" w:sz="4" w:space="0" w:color="000000"/>
              <w:right w:val="single" w:sz="4"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 xml:space="preserve">Harold Jiménez Solanilla  y Sandra Silva </w:t>
            </w:r>
            <w:r w:rsidR="00721F86" w:rsidRPr="003C4A7D">
              <w:rPr>
                <w:rFonts w:asciiTheme="minorHAnsi" w:hAnsiTheme="minorHAnsi"/>
                <w:sz w:val="12"/>
                <w:szCs w:val="12"/>
              </w:rPr>
              <w:t>Mejía</w:t>
            </w:r>
          </w:p>
        </w:tc>
        <w:tc>
          <w:tcPr>
            <w:tcW w:w="2819" w:type="dxa"/>
            <w:tcBorders>
              <w:bottom w:val="single" w:sz="4" w:space="0" w:color="000000"/>
              <w:right w:val="single" w:sz="4"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 </w:t>
            </w:r>
          </w:p>
        </w:tc>
        <w:tc>
          <w:tcPr>
            <w:tcW w:w="954" w:type="dxa"/>
            <w:tcBorders>
              <w:bottom w:val="single" w:sz="4" w:space="0" w:color="000000"/>
              <w:right w:val="single" w:sz="8"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 </w:t>
            </w:r>
          </w:p>
        </w:tc>
      </w:tr>
      <w:tr w:rsidR="00CB3524" w:rsidRPr="00CF6F94" w:rsidTr="006715F8">
        <w:trPr>
          <w:jc w:val="center"/>
        </w:trPr>
        <w:tc>
          <w:tcPr>
            <w:tcW w:w="1193" w:type="dxa"/>
            <w:tcBorders>
              <w:left w:val="single" w:sz="8" w:space="0" w:color="000000"/>
              <w:bottom w:val="single" w:sz="4" w:space="0" w:color="000000"/>
              <w:right w:val="single" w:sz="4"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Aprobado por:</w:t>
            </w:r>
          </w:p>
        </w:tc>
        <w:tc>
          <w:tcPr>
            <w:tcW w:w="3937" w:type="dxa"/>
            <w:tcBorders>
              <w:bottom w:val="single" w:sz="4" w:space="0" w:color="000000"/>
              <w:right w:val="single" w:sz="4" w:space="0" w:color="000000"/>
            </w:tcBorders>
            <w:shd w:val="clear" w:color="auto" w:fill="auto"/>
            <w:noWrap/>
            <w:tcMar>
              <w:top w:w="0" w:type="dxa"/>
              <w:left w:w="57" w:type="dxa"/>
              <w:bottom w:w="0" w:type="dxa"/>
              <w:right w:w="57" w:type="dxa"/>
            </w:tcMar>
            <w:vAlign w:val="center"/>
          </w:tcPr>
          <w:p w:rsidR="00CB3524" w:rsidRPr="003C4A7D" w:rsidRDefault="00721F86" w:rsidP="00CF6F94">
            <w:pPr>
              <w:jc w:val="both"/>
              <w:rPr>
                <w:rFonts w:asciiTheme="minorHAnsi" w:hAnsiTheme="minorHAnsi"/>
                <w:sz w:val="12"/>
                <w:szCs w:val="12"/>
              </w:rPr>
            </w:pPr>
            <w:r w:rsidRPr="003C4A7D">
              <w:rPr>
                <w:rFonts w:asciiTheme="minorHAnsi" w:hAnsiTheme="minorHAnsi"/>
                <w:sz w:val="12"/>
                <w:szCs w:val="12"/>
              </w:rPr>
              <w:t>Luz Jimena Duque Botero</w:t>
            </w:r>
          </w:p>
        </w:tc>
        <w:tc>
          <w:tcPr>
            <w:tcW w:w="2819" w:type="dxa"/>
            <w:tcBorders>
              <w:bottom w:val="single" w:sz="4" w:space="0" w:color="000000"/>
              <w:right w:val="single" w:sz="4"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 </w:t>
            </w:r>
          </w:p>
        </w:tc>
        <w:tc>
          <w:tcPr>
            <w:tcW w:w="954" w:type="dxa"/>
            <w:tcBorders>
              <w:bottom w:val="single" w:sz="4" w:space="0" w:color="000000"/>
              <w:right w:val="single" w:sz="8"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 </w:t>
            </w:r>
          </w:p>
        </w:tc>
      </w:tr>
      <w:tr w:rsidR="00CB3524" w:rsidRPr="00CF6F94" w:rsidTr="006715F8">
        <w:trPr>
          <w:jc w:val="center"/>
        </w:trPr>
        <w:tc>
          <w:tcPr>
            <w:tcW w:w="8903" w:type="dxa"/>
            <w:gridSpan w:val="4"/>
            <w:tcBorders>
              <w:top w:val="single" w:sz="4" w:space="0" w:color="000000"/>
              <w:left w:val="single" w:sz="8" w:space="0" w:color="000000"/>
              <w:bottom w:val="single" w:sz="4" w:space="0" w:color="000000"/>
              <w:right w:val="single" w:sz="8" w:space="0" w:color="000000"/>
            </w:tcBorders>
            <w:shd w:val="clear" w:color="auto" w:fill="auto"/>
            <w:noWrap/>
            <w:tcMar>
              <w:top w:w="0" w:type="dxa"/>
              <w:left w:w="57" w:type="dxa"/>
              <w:bottom w:w="0" w:type="dxa"/>
              <w:right w:w="57" w:type="dxa"/>
            </w:tcMar>
            <w:vAlign w:val="center"/>
          </w:tcPr>
          <w:p w:rsidR="00CB3524" w:rsidRPr="003C4A7D" w:rsidRDefault="00CB3524" w:rsidP="00CF6F94">
            <w:pPr>
              <w:jc w:val="both"/>
              <w:rPr>
                <w:rFonts w:asciiTheme="minorHAnsi" w:hAnsiTheme="minorHAnsi"/>
                <w:sz w:val="12"/>
                <w:szCs w:val="12"/>
              </w:rPr>
            </w:pPr>
            <w:r w:rsidRPr="003C4A7D">
              <w:rPr>
                <w:rFonts w:asciiTheme="minorHAnsi" w:hAnsiTheme="minorHAnsi"/>
                <w:sz w:val="12"/>
                <w:szCs w:val="12"/>
              </w:rPr>
              <w:t>Los arriba firmantes declaramos que hemos revisado el documento y lo encontramos ajustado a las normas y disposiciones legales vigentes y por lo tanto, bajo nuestra responsabilidad lo presentamos para la firma.</w:t>
            </w:r>
          </w:p>
        </w:tc>
      </w:tr>
    </w:tbl>
    <w:p w:rsidR="00F27C00" w:rsidRPr="00CF6F94" w:rsidRDefault="00F27C00" w:rsidP="009471DA">
      <w:pPr>
        <w:jc w:val="both"/>
        <w:rPr>
          <w:rFonts w:asciiTheme="minorHAnsi" w:hAnsiTheme="minorHAnsi"/>
          <w:sz w:val="22"/>
          <w:szCs w:val="22"/>
        </w:rPr>
      </w:pPr>
    </w:p>
    <w:sectPr w:rsidR="00F27C00" w:rsidRPr="00CF6F94">
      <w:headerReference w:type="default" r:id="rId9"/>
      <w:headerReference w:type="first" r:id="rId10"/>
      <w:pgSz w:w="12191" w:h="18711"/>
      <w:pgMar w:top="2268"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625" w:rsidRDefault="00726625">
      <w:r>
        <w:separator/>
      </w:r>
    </w:p>
  </w:endnote>
  <w:endnote w:type="continuationSeparator" w:id="0">
    <w:p w:rsidR="00726625" w:rsidRDefault="0072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hyllis">
    <w:altName w:val="Courier New"/>
    <w:charset w:val="00"/>
    <w:family w:val="script"/>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625" w:rsidRDefault="00726625">
      <w:r>
        <w:rPr>
          <w:color w:val="000000"/>
        </w:rPr>
        <w:separator/>
      </w:r>
    </w:p>
  </w:footnote>
  <w:footnote w:type="continuationSeparator" w:id="0">
    <w:p w:rsidR="00726625" w:rsidRDefault="00726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01" w:rsidRDefault="00CB5942">
    <w:r>
      <w:rPr>
        <w:rFonts w:ascii="Calibri" w:hAnsi="Calibri"/>
        <w:i/>
        <w:noProof/>
        <w:lang w:val="es-CO" w:eastAsia="es-CO"/>
      </w:rPr>
      <w:drawing>
        <wp:anchor distT="0" distB="0" distL="114300" distR="114300" simplePos="0" relativeHeight="251659264" behindDoc="1" locked="0" layoutInCell="1" allowOverlap="1" wp14:anchorId="33CAAA02" wp14:editId="00E8CCD9">
          <wp:simplePos x="0" y="0"/>
          <wp:positionH relativeFrom="margin">
            <wp:posOffset>-1095378</wp:posOffset>
          </wp:positionH>
          <wp:positionV relativeFrom="margin">
            <wp:posOffset>-1437637</wp:posOffset>
          </wp:positionV>
          <wp:extent cx="7772400" cy="11880854"/>
          <wp:effectExtent l="0" t="0" r="0" b="6346"/>
          <wp:wrapNone/>
          <wp:docPr id="1" name="WordPictureWatermark1851172472" descr="E:\AGR_JpDuenas\AGR_Papeleria19-23\Membrete\AGRgd-MOficio2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1880854"/>
                  </a:xfrm>
                  <a:prstGeom prst="rect">
                    <a:avLst/>
                  </a:prstGeom>
                  <a:noFill/>
                  <a:ln>
                    <a:noFill/>
                    <a:prstDash/>
                  </a:ln>
                </pic:spPr>
              </pic:pic>
            </a:graphicData>
          </a:graphic>
        </wp:anchor>
      </w:drawing>
    </w:r>
  </w:p>
  <w:tbl>
    <w:tblPr>
      <w:tblW w:w="8978" w:type="dxa"/>
      <w:tblCellMar>
        <w:left w:w="10" w:type="dxa"/>
        <w:right w:w="10" w:type="dxa"/>
      </w:tblCellMar>
      <w:tblLook w:val="0000" w:firstRow="0" w:lastRow="0" w:firstColumn="0" w:lastColumn="0" w:noHBand="0" w:noVBand="0"/>
    </w:tblPr>
    <w:tblGrid>
      <w:gridCol w:w="6204"/>
      <w:gridCol w:w="2774"/>
    </w:tblGrid>
    <w:tr w:rsidR="00CA5801">
      <w:trPr>
        <w:trHeight w:val="339"/>
      </w:trPr>
      <w:tc>
        <w:tcPr>
          <w:tcW w:w="6204" w:type="dxa"/>
          <w:shd w:val="clear" w:color="auto" w:fill="auto"/>
          <w:tcMar>
            <w:top w:w="0" w:type="dxa"/>
            <w:left w:w="108" w:type="dxa"/>
            <w:bottom w:w="0" w:type="dxa"/>
            <w:right w:w="108" w:type="dxa"/>
          </w:tcMar>
          <w:vAlign w:val="bottom"/>
        </w:tcPr>
        <w:p w:rsidR="00CA5801" w:rsidRDefault="00CB5942" w:rsidP="00A2300C">
          <w:pPr>
            <w:pStyle w:val="Encabezado"/>
          </w:pPr>
          <w:r>
            <w:rPr>
              <w:rFonts w:ascii="Calibri" w:hAnsi="Calibri"/>
              <w:i/>
            </w:rPr>
            <w:t>Continuación de la Resolución</w:t>
          </w:r>
          <w:r w:rsidR="009471DA">
            <w:rPr>
              <w:rFonts w:ascii="Calibri" w:hAnsi="Calibri"/>
              <w:i/>
            </w:rPr>
            <w:t xml:space="preserve"> Orgánica</w:t>
          </w:r>
          <w:r>
            <w:rPr>
              <w:rFonts w:ascii="Calibri" w:hAnsi="Calibri"/>
              <w:i/>
            </w:rPr>
            <w:t xml:space="preserve"> No.</w:t>
          </w:r>
          <w:r w:rsidR="00A2300C">
            <w:rPr>
              <w:rFonts w:ascii="Calibri" w:hAnsi="Calibri"/>
              <w:i/>
            </w:rPr>
            <w:t xml:space="preserve">                      </w:t>
          </w:r>
          <w:r>
            <w:rPr>
              <w:rFonts w:ascii="Calibri" w:hAnsi="Calibri"/>
              <w:i/>
            </w:rPr>
            <w:t xml:space="preserve"> </w:t>
          </w:r>
          <w:r w:rsidR="009471DA">
            <w:rPr>
              <w:rFonts w:ascii="Calibri" w:hAnsi="Calibri"/>
              <w:i/>
            </w:rPr>
            <w:t xml:space="preserve">  </w:t>
          </w:r>
          <w:r>
            <w:rPr>
              <w:rFonts w:ascii="Calibri" w:hAnsi="Calibri"/>
              <w:i/>
            </w:rPr>
            <w:t>de 2020</w:t>
          </w:r>
        </w:p>
      </w:tc>
      <w:tc>
        <w:tcPr>
          <w:tcW w:w="2774" w:type="dxa"/>
          <w:shd w:val="clear" w:color="auto" w:fill="auto"/>
          <w:tcMar>
            <w:top w:w="0" w:type="dxa"/>
            <w:left w:w="108" w:type="dxa"/>
            <w:bottom w:w="0" w:type="dxa"/>
            <w:right w:w="108" w:type="dxa"/>
          </w:tcMar>
          <w:vAlign w:val="bottom"/>
        </w:tcPr>
        <w:p w:rsidR="00CA5801" w:rsidRDefault="00726625">
          <w:pPr>
            <w:pStyle w:val="Encabezado"/>
          </w:pPr>
        </w:p>
      </w:tc>
    </w:tr>
    <w:tr w:rsidR="00CA5801">
      <w:trPr>
        <w:trHeight w:val="68"/>
      </w:trPr>
      <w:tc>
        <w:tcPr>
          <w:tcW w:w="6204" w:type="dxa"/>
          <w:shd w:val="clear" w:color="auto" w:fill="auto"/>
          <w:tcMar>
            <w:top w:w="0" w:type="dxa"/>
            <w:left w:w="108" w:type="dxa"/>
            <w:bottom w:w="0" w:type="dxa"/>
            <w:right w:w="108" w:type="dxa"/>
          </w:tcMar>
        </w:tcPr>
        <w:p w:rsidR="00CA5801" w:rsidRDefault="00CB5942">
          <w:pPr>
            <w:pStyle w:val="Encabezado"/>
          </w:pPr>
          <w:r>
            <w:rPr>
              <w:rFonts w:ascii="Calibri" w:hAnsi="Calibri" w:cs="Arial"/>
              <w:bCs/>
            </w:rPr>
            <w:t xml:space="preserve">Página </w:t>
          </w:r>
          <w:r>
            <w:rPr>
              <w:rFonts w:ascii="Calibri" w:hAnsi="Calibri" w:cs="Arial"/>
              <w:bCs/>
            </w:rPr>
            <w:fldChar w:fldCharType="begin"/>
          </w:r>
          <w:r>
            <w:rPr>
              <w:rFonts w:ascii="Calibri" w:hAnsi="Calibri" w:cs="Arial"/>
              <w:bCs/>
            </w:rPr>
            <w:instrText xml:space="preserve"> PAGE </w:instrText>
          </w:r>
          <w:r>
            <w:rPr>
              <w:rFonts w:ascii="Calibri" w:hAnsi="Calibri" w:cs="Arial"/>
              <w:bCs/>
            </w:rPr>
            <w:fldChar w:fldCharType="separate"/>
          </w:r>
          <w:r w:rsidR="00380F31">
            <w:rPr>
              <w:rFonts w:ascii="Calibri" w:hAnsi="Calibri" w:cs="Arial"/>
              <w:bCs/>
              <w:noProof/>
            </w:rPr>
            <w:t>3</w:t>
          </w:r>
          <w:r>
            <w:rPr>
              <w:rFonts w:ascii="Calibri" w:hAnsi="Calibri" w:cs="Arial"/>
              <w:bCs/>
            </w:rPr>
            <w:fldChar w:fldCharType="end"/>
          </w:r>
          <w:r>
            <w:rPr>
              <w:rFonts w:ascii="Calibri" w:hAnsi="Calibri" w:cs="Arial"/>
              <w:bCs/>
            </w:rPr>
            <w:t xml:space="preserve"> de </w:t>
          </w:r>
          <w:r>
            <w:rPr>
              <w:rFonts w:ascii="Calibri" w:hAnsi="Calibri" w:cs="Arial"/>
              <w:bCs/>
            </w:rPr>
            <w:fldChar w:fldCharType="begin"/>
          </w:r>
          <w:r>
            <w:rPr>
              <w:rFonts w:ascii="Calibri" w:hAnsi="Calibri" w:cs="Arial"/>
              <w:bCs/>
            </w:rPr>
            <w:instrText xml:space="preserve"> NUMPAGES </w:instrText>
          </w:r>
          <w:r>
            <w:rPr>
              <w:rFonts w:ascii="Calibri" w:hAnsi="Calibri" w:cs="Arial"/>
              <w:bCs/>
            </w:rPr>
            <w:fldChar w:fldCharType="separate"/>
          </w:r>
          <w:r w:rsidR="00380F31">
            <w:rPr>
              <w:rFonts w:ascii="Calibri" w:hAnsi="Calibri" w:cs="Arial"/>
              <w:bCs/>
              <w:noProof/>
            </w:rPr>
            <w:t>3</w:t>
          </w:r>
          <w:r>
            <w:rPr>
              <w:rFonts w:ascii="Calibri" w:hAnsi="Calibri" w:cs="Arial"/>
              <w:bCs/>
            </w:rPr>
            <w:fldChar w:fldCharType="end"/>
          </w:r>
        </w:p>
      </w:tc>
      <w:tc>
        <w:tcPr>
          <w:tcW w:w="2774" w:type="dxa"/>
          <w:shd w:val="clear" w:color="auto" w:fill="auto"/>
          <w:tcMar>
            <w:top w:w="0" w:type="dxa"/>
            <w:left w:w="108" w:type="dxa"/>
            <w:bottom w:w="0" w:type="dxa"/>
            <w:right w:w="108" w:type="dxa"/>
          </w:tcMar>
        </w:tcPr>
        <w:p w:rsidR="00CA5801" w:rsidRDefault="00726625">
          <w:pPr>
            <w:pStyle w:val="Encabezado"/>
          </w:pPr>
        </w:p>
      </w:tc>
    </w:tr>
  </w:tbl>
  <w:p w:rsidR="00CA5801" w:rsidRDefault="007266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01" w:rsidRDefault="00726625"/>
  <w:p w:rsidR="00CA5801" w:rsidRDefault="00726625"/>
  <w:tbl>
    <w:tblPr>
      <w:tblW w:w="8978" w:type="dxa"/>
      <w:tblCellMar>
        <w:left w:w="10" w:type="dxa"/>
        <w:right w:w="10" w:type="dxa"/>
      </w:tblCellMar>
      <w:tblLook w:val="0000" w:firstRow="0" w:lastRow="0" w:firstColumn="0" w:lastColumn="0" w:noHBand="0" w:noVBand="0"/>
    </w:tblPr>
    <w:tblGrid>
      <w:gridCol w:w="6204"/>
      <w:gridCol w:w="2774"/>
    </w:tblGrid>
    <w:tr w:rsidR="00CA5801">
      <w:trPr>
        <w:trHeight w:val="851"/>
      </w:trPr>
      <w:tc>
        <w:tcPr>
          <w:tcW w:w="6204" w:type="dxa"/>
          <w:shd w:val="clear" w:color="auto" w:fill="auto"/>
          <w:tcMar>
            <w:top w:w="0" w:type="dxa"/>
            <w:left w:w="108" w:type="dxa"/>
            <w:bottom w:w="0" w:type="dxa"/>
            <w:right w:w="108" w:type="dxa"/>
          </w:tcMar>
          <w:vAlign w:val="bottom"/>
        </w:tcPr>
        <w:p w:rsidR="00CA5801" w:rsidRDefault="00CB5942" w:rsidP="009F1F09">
          <w:pPr>
            <w:pStyle w:val="Encabezado"/>
          </w:pPr>
          <w:r>
            <w:rPr>
              <w:rFonts w:ascii="Calibri" w:hAnsi="Calibri"/>
              <w:b/>
              <w:noProof/>
              <w:sz w:val="28"/>
              <w:szCs w:val="28"/>
              <w:lang w:val="es-CO" w:eastAsia="es-CO"/>
            </w:rPr>
            <w:drawing>
              <wp:anchor distT="0" distB="0" distL="114300" distR="114300" simplePos="0" relativeHeight="251661312" behindDoc="1" locked="0" layoutInCell="1" allowOverlap="1" wp14:anchorId="6968E43C" wp14:editId="7808D36B">
                <wp:simplePos x="0" y="0"/>
                <wp:positionH relativeFrom="margin">
                  <wp:posOffset>-1095378</wp:posOffset>
                </wp:positionH>
                <wp:positionV relativeFrom="margin">
                  <wp:posOffset>-1427478</wp:posOffset>
                </wp:positionV>
                <wp:extent cx="7772400" cy="11880854"/>
                <wp:effectExtent l="0" t="0" r="0" b="6346"/>
                <wp:wrapNone/>
                <wp:docPr id="2" name="WordPictureWatermark1851172472" descr="E:\AGR_JpDuenas\AGR_Papeleria19-23\Membrete\AGRgd-MOficio2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1880854"/>
                        </a:xfrm>
                        <a:prstGeom prst="rect">
                          <a:avLst/>
                        </a:prstGeom>
                        <a:noFill/>
                        <a:ln>
                          <a:noFill/>
                          <a:prstDash/>
                        </a:ln>
                      </pic:spPr>
                    </pic:pic>
                  </a:graphicData>
                </a:graphic>
              </wp:anchor>
            </w:drawing>
          </w:r>
          <w:r>
            <w:rPr>
              <w:rFonts w:ascii="Calibri" w:hAnsi="Calibri"/>
              <w:b/>
              <w:sz w:val="28"/>
              <w:szCs w:val="28"/>
            </w:rPr>
            <w:t xml:space="preserve">RESOLUCIÓN </w:t>
          </w:r>
          <w:r w:rsidR="009F1F09">
            <w:rPr>
              <w:rFonts w:ascii="Calibri" w:hAnsi="Calibri"/>
              <w:b/>
              <w:sz w:val="28"/>
              <w:szCs w:val="28"/>
            </w:rPr>
            <w:t xml:space="preserve">ORGANICA No.     </w:t>
          </w:r>
          <w:r w:rsidR="009471DA">
            <w:rPr>
              <w:rFonts w:ascii="Calibri" w:hAnsi="Calibri"/>
              <w:b/>
              <w:sz w:val="28"/>
              <w:szCs w:val="28"/>
            </w:rPr>
            <w:t xml:space="preserve">        </w:t>
          </w:r>
          <w:r>
            <w:rPr>
              <w:rFonts w:ascii="Calibri" w:hAnsi="Calibri"/>
              <w:b/>
              <w:sz w:val="28"/>
              <w:szCs w:val="28"/>
            </w:rPr>
            <w:t>de 2020</w:t>
          </w:r>
        </w:p>
      </w:tc>
      <w:tc>
        <w:tcPr>
          <w:tcW w:w="2774" w:type="dxa"/>
          <w:shd w:val="clear" w:color="auto" w:fill="auto"/>
          <w:tcMar>
            <w:top w:w="0" w:type="dxa"/>
            <w:left w:w="108" w:type="dxa"/>
            <w:bottom w:w="0" w:type="dxa"/>
            <w:right w:w="108" w:type="dxa"/>
          </w:tcMar>
          <w:vAlign w:val="bottom"/>
        </w:tcPr>
        <w:p w:rsidR="00CA5801" w:rsidRDefault="00726625">
          <w:pPr>
            <w:pStyle w:val="Encabezado"/>
          </w:pPr>
        </w:p>
      </w:tc>
    </w:tr>
  </w:tbl>
  <w:p w:rsidR="00CA5801" w:rsidRDefault="00CB5942">
    <w:pPr>
      <w:pStyle w:val="Encabezado"/>
    </w:pPr>
    <w:r>
      <w:rPr>
        <w:noProof/>
        <w:lang w:val="es-CO" w:eastAsia="es-CO"/>
      </w:rPr>
      <w:drawing>
        <wp:anchor distT="0" distB="0" distL="114300" distR="114300" simplePos="0" relativeHeight="251662336" behindDoc="1" locked="0" layoutInCell="1" allowOverlap="1" wp14:anchorId="05A3B938" wp14:editId="75054ADE">
          <wp:simplePos x="0" y="0"/>
          <wp:positionH relativeFrom="margin">
            <wp:posOffset>-1095378</wp:posOffset>
          </wp:positionH>
          <wp:positionV relativeFrom="margin">
            <wp:posOffset>-1427478</wp:posOffset>
          </wp:positionV>
          <wp:extent cx="7772400" cy="11880854"/>
          <wp:effectExtent l="0" t="0" r="0" b="6346"/>
          <wp:wrapNone/>
          <wp:docPr id="3" name="WordPictureWatermark1851172470" descr="E:\AGR_JpDuenas\AGR_Papeleria19-23\Membrete\AGRgd-MOficio2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188085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4B1"/>
    <w:multiLevelType w:val="hybridMultilevel"/>
    <w:tmpl w:val="C41264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A167DBD"/>
    <w:multiLevelType w:val="hybridMultilevel"/>
    <w:tmpl w:val="11E4AE9A"/>
    <w:lvl w:ilvl="0" w:tplc="0E042A5E">
      <w:start w:val="1"/>
      <w:numFmt w:val="bullet"/>
      <w:lvlText w:val=""/>
      <w:lvlJc w:val="left"/>
      <w:pPr>
        <w:ind w:left="868" w:hanging="360"/>
      </w:pPr>
      <w:rPr>
        <w:rFonts w:ascii="Symbol" w:hAnsi="Symbol" w:hint="default"/>
      </w:rPr>
    </w:lvl>
    <w:lvl w:ilvl="1" w:tplc="240A0003" w:tentative="1">
      <w:start w:val="1"/>
      <w:numFmt w:val="bullet"/>
      <w:lvlText w:val="o"/>
      <w:lvlJc w:val="left"/>
      <w:pPr>
        <w:ind w:left="1588" w:hanging="360"/>
      </w:pPr>
      <w:rPr>
        <w:rFonts w:ascii="Courier New" w:hAnsi="Courier New" w:cs="Courier New" w:hint="default"/>
      </w:rPr>
    </w:lvl>
    <w:lvl w:ilvl="2" w:tplc="240A0005" w:tentative="1">
      <w:start w:val="1"/>
      <w:numFmt w:val="bullet"/>
      <w:lvlText w:val=""/>
      <w:lvlJc w:val="left"/>
      <w:pPr>
        <w:ind w:left="2308" w:hanging="360"/>
      </w:pPr>
      <w:rPr>
        <w:rFonts w:ascii="Wingdings" w:hAnsi="Wingdings" w:hint="default"/>
      </w:rPr>
    </w:lvl>
    <w:lvl w:ilvl="3" w:tplc="240A0001" w:tentative="1">
      <w:start w:val="1"/>
      <w:numFmt w:val="bullet"/>
      <w:lvlText w:val=""/>
      <w:lvlJc w:val="left"/>
      <w:pPr>
        <w:ind w:left="3028" w:hanging="360"/>
      </w:pPr>
      <w:rPr>
        <w:rFonts w:ascii="Symbol" w:hAnsi="Symbol" w:hint="default"/>
      </w:rPr>
    </w:lvl>
    <w:lvl w:ilvl="4" w:tplc="240A0003" w:tentative="1">
      <w:start w:val="1"/>
      <w:numFmt w:val="bullet"/>
      <w:lvlText w:val="o"/>
      <w:lvlJc w:val="left"/>
      <w:pPr>
        <w:ind w:left="3748" w:hanging="360"/>
      </w:pPr>
      <w:rPr>
        <w:rFonts w:ascii="Courier New" w:hAnsi="Courier New" w:cs="Courier New" w:hint="default"/>
      </w:rPr>
    </w:lvl>
    <w:lvl w:ilvl="5" w:tplc="240A0005" w:tentative="1">
      <w:start w:val="1"/>
      <w:numFmt w:val="bullet"/>
      <w:lvlText w:val=""/>
      <w:lvlJc w:val="left"/>
      <w:pPr>
        <w:ind w:left="4468" w:hanging="360"/>
      </w:pPr>
      <w:rPr>
        <w:rFonts w:ascii="Wingdings" w:hAnsi="Wingdings" w:hint="default"/>
      </w:rPr>
    </w:lvl>
    <w:lvl w:ilvl="6" w:tplc="240A0001" w:tentative="1">
      <w:start w:val="1"/>
      <w:numFmt w:val="bullet"/>
      <w:lvlText w:val=""/>
      <w:lvlJc w:val="left"/>
      <w:pPr>
        <w:ind w:left="5188" w:hanging="360"/>
      </w:pPr>
      <w:rPr>
        <w:rFonts w:ascii="Symbol" w:hAnsi="Symbol" w:hint="default"/>
      </w:rPr>
    </w:lvl>
    <w:lvl w:ilvl="7" w:tplc="240A0003" w:tentative="1">
      <w:start w:val="1"/>
      <w:numFmt w:val="bullet"/>
      <w:lvlText w:val="o"/>
      <w:lvlJc w:val="left"/>
      <w:pPr>
        <w:ind w:left="5908" w:hanging="360"/>
      </w:pPr>
      <w:rPr>
        <w:rFonts w:ascii="Courier New" w:hAnsi="Courier New" w:cs="Courier New" w:hint="default"/>
      </w:rPr>
    </w:lvl>
    <w:lvl w:ilvl="8" w:tplc="240A0005" w:tentative="1">
      <w:start w:val="1"/>
      <w:numFmt w:val="bullet"/>
      <w:lvlText w:val=""/>
      <w:lvlJc w:val="left"/>
      <w:pPr>
        <w:ind w:left="6628" w:hanging="360"/>
      </w:pPr>
      <w:rPr>
        <w:rFonts w:ascii="Wingdings" w:hAnsi="Wingdings" w:hint="default"/>
      </w:rPr>
    </w:lvl>
  </w:abstractNum>
  <w:abstractNum w:abstractNumId="2">
    <w:nsid w:val="74A06D2E"/>
    <w:multiLevelType w:val="hybridMultilevel"/>
    <w:tmpl w:val="99DAF04E"/>
    <w:lvl w:ilvl="0" w:tplc="0E042A5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6240FC4"/>
    <w:multiLevelType w:val="hybridMultilevel"/>
    <w:tmpl w:val="2B1413E6"/>
    <w:lvl w:ilvl="0" w:tplc="CDBAD47C">
      <w:numFmt w:val="bullet"/>
      <w:lvlText w:val="-"/>
      <w:lvlJc w:val="left"/>
      <w:pPr>
        <w:ind w:left="432" w:hanging="284"/>
      </w:pPr>
      <w:rPr>
        <w:rFonts w:ascii="Arial" w:eastAsia="Arial" w:hAnsi="Arial" w:cs="Arial" w:hint="default"/>
        <w:w w:val="97"/>
        <w:sz w:val="24"/>
        <w:szCs w:val="24"/>
        <w:lang w:val="es-ES" w:eastAsia="es-ES" w:bidi="es-ES"/>
      </w:rPr>
    </w:lvl>
    <w:lvl w:ilvl="1" w:tplc="271CA798">
      <w:numFmt w:val="bullet"/>
      <w:lvlText w:val="•"/>
      <w:lvlJc w:val="left"/>
      <w:pPr>
        <w:ind w:left="1316" w:hanging="284"/>
      </w:pPr>
      <w:rPr>
        <w:rFonts w:hint="default"/>
        <w:lang w:val="es-ES" w:eastAsia="es-ES" w:bidi="es-ES"/>
      </w:rPr>
    </w:lvl>
    <w:lvl w:ilvl="2" w:tplc="1598D53C">
      <w:numFmt w:val="bullet"/>
      <w:lvlText w:val="•"/>
      <w:lvlJc w:val="left"/>
      <w:pPr>
        <w:ind w:left="2192" w:hanging="284"/>
      </w:pPr>
      <w:rPr>
        <w:rFonts w:hint="default"/>
        <w:lang w:val="es-ES" w:eastAsia="es-ES" w:bidi="es-ES"/>
      </w:rPr>
    </w:lvl>
    <w:lvl w:ilvl="3" w:tplc="D87A7892">
      <w:numFmt w:val="bullet"/>
      <w:lvlText w:val="•"/>
      <w:lvlJc w:val="left"/>
      <w:pPr>
        <w:ind w:left="3068" w:hanging="284"/>
      </w:pPr>
      <w:rPr>
        <w:rFonts w:hint="default"/>
        <w:lang w:val="es-ES" w:eastAsia="es-ES" w:bidi="es-ES"/>
      </w:rPr>
    </w:lvl>
    <w:lvl w:ilvl="4" w:tplc="DB4A59B2">
      <w:numFmt w:val="bullet"/>
      <w:lvlText w:val="•"/>
      <w:lvlJc w:val="left"/>
      <w:pPr>
        <w:ind w:left="3944" w:hanging="284"/>
      </w:pPr>
      <w:rPr>
        <w:rFonts w:hint="default"/>
        <w:lang w:val="es-ES" w:eastAsia="es-ES" w:bidi="es-ES"/>
      </w:rPr>
    </w:lvl>
    <w:lvl w:ilvl="5" w:tplc="6C58CD68">
      <w:numFmt w:val="bullet"/>
      <w:lvlText w:val="•"/>
      <w:lvlJc w:val="left"/>
      <w:pPr>
        <w:ind w:left="4820" w:hanging="284"/>
      </w:pPr>
      <w:rPr>
        <w:rFonts w:hint="default"/>
        <w:lang w:val="es-ES" w:eastAsia="es-ES" w:bidi="es-ES"/>
      </w:rPr>
    </w:lvl>
    <w:lvl w:ilvl="6" w:tplc="C67C173A">
      <w:numFmt w:val="bullet"/>
      <w:lvlText w:val="•"/>
      <w:lvlJc w:val="left"/>
      <w:pPr>
        <w:ind w:left="5696" w:hanging="284"/>
      </w:pPr>
      <w:rPr>
        <w:rFonts w:hint="default"/>
        <w:lang w:val="es-ES" w:eastAsia="es-ES" w:bidi="es-ES"/>
      </w:rPr>
    </w:lvl>
    <w:lvl w:ilvl="7" w:tplc="78A61430">
      <w:numFmt w:val="bullet"/>
      <w:lvlText w:val="•"/>
      <w:lvlJc w:val="left"/>
      <w:pPr>
        <w:ind w:left="6572" w:hanging="284"/>
      </w:pPr>
      <w:rPr>
        <w:rFonts w:hint="default"/>
        <w:lang w:val="es-ES" w:eastAsia="es-ES" w:bidi="es-ES"/>
      </w:rPr>
    </w:lvl>
    <w:lvl w:ilvl="8" w:tplc="CEA8BA12">
      <w:numFmt w:val="bullet"/>
      <w:lvlText w:val="•"/>
      <w:lvlJc w:val="left"/>
      <w:pPr>
        <w:ind w:left="7448" w:hanging="284"/>
      </w:pPr>
      <w:rPr>
        <w:rFonts w:hint="default"/>
        <w:lang w:val="es-ES" w:eastAsia="es-ES" w:bidi="es-E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00"/>
    <w:rsid w:val="00012A25"/>
    <w:rsid w:val="00025241"/>
    <w:rsid w:val="000630EE"/>
    <w:rsid w:val="000A7CD5"/>
    <w:rsid w:val="000A7CF9"/>
    <w:rsid w:val="000C3D2A"/>
    <w:rsid w:val="000D1B09"/>
    <w:rsid w:val="000E22D1"/>
    <w:rsid w:val="000E67AB"/>
    <w:rsid w:val="00102274"/>
    <w:rsid w:val="00106ADC"/>
    <w:rsid w:val="00134E99"/>
    <w:rsid w:val="001445B8"/>
    <w:rsid w:val="001C7CF3"/>
    <w:rsid w:val="002100C7"/>
    <w:rsid w:val="00237E18"/>
    <w:rsid w:val="0024288C"/>
    <w:rsid w:val="00277C62"/>
    <w:rsid w:val="00291EA4"/>
    <w:rsid w:val="002A176A"/>
    <w:rsid w:val="002A7EE0"/>
    <w:rsid w:val="002E4AEB"/>
    <w:rsid w:val="00354999"/>
    <w:rsid w:val="00380F31"/>
    <w:rsid w:val="003B260F"/>
    <w:rsid w:val="003B7AF0"/>
    <w:rsid w:val="003C4A7D"/>
    <w:rsid w:val="003E7551"/>
    <w:rsid w:val="004036EC"/>
    <w:rsid w:val="004123E1"/>
    <w:rsid w:val="00442FFE"/>
    <w:rsid w:val="00446709"/>
    <w:rsid w:val="00452060"/>
    <w:rsid w:val="00455190"/>
    <w:rsid w:val="00464E45"/>
    <w:rsid w:val="00476D3D"/>
    <w:rsid w:val="004842AF"/>
    <w:rsid w:val="004A4D34"/>
    <w:rsid w:val="004C7165"/>
    <w:rsid w:val="004E64D8"/>
    <w:rsid w:val="00531FD5"/>
    <w:rsid w:val="005961C5"/>
    <w:rsid w:val="005A4041"/>
    <w:rsid w:val="005D0307"/>
    <w:rsid w:val="0061691C"/>
    <w:rsid w:val="0062768E"/>
    <w:rsid w:val="006715F8"/>
    <w:rsid w:val="00682D1D"/>
    <w:rsid w:val="00721F86"/>
    <w:rsid w:val="007231E3"/>
    <w:rsid w:val="00726625"/>
    <w:rsid w:val="00744056"/>
    <w:rsid w:val="007A49E8"/>
    <w:rsid w:val="007C01CA"/>
    <w:rsid w:val="007E4F47"/>
    <w:rsid w:val="008130D5"/>
    <w:rsid w:val="00836EB6"/>
    <w:rsid w:val="008B7C1B"/>
    <w:rsid w:val="008E45A0"/>
    <w:rsid w:val="008E75C7"/>
    <w:rsid w:val="009471DA"/>
    <w:rsid w:val="009F1F09"/>
    <w:rsid w:val="009F5AF7"/>
    <w:rsid w:val="00A2300C"/>
    <w:rsid w:val="00A65638"/>
    <w:rsid w:val="00A96932"/>
    <w:rsid w:val="00AF26DD"/>
    <w:rsid w:val="00B06212"/>
    <w:rsid w:val="00B53C68"/>
    <w:rsid w:val="00B75F12"/>
    <w:rsid w:val="00B81AF2"/>
    <w:rsid w:val="00B90C81"/>
    <w:rsid w:val="00BD7530"/>
    <w:rsid w:val="00BE0919"/>
    <w:rsid w:val="00C00133"/>
    <w:rsid w:val="00C130F7"/>
    <w:rsid w:val="00C14FC8"/>
    <w:rsid w:val="00C21F3A"/>
    <w:rsid w:val="00C37F83"/>
    <w:rsid w:val="00C508D6"/>
    <w:rsid w:val="00C509E4"/>
    <w:rsid w:val="00CB3524"/>
    <w:rsid w:val="00CB5942"/>
    <w:rsid w:val="00CF6F94"/>
    <w:rsid w:val="00D03719"/>
    <w:rsid w:val="00D6797A"/>
    <w:rsid w:val="00D7535A"/>
    <w:rsid w:val="00DA0F60"/>
    <w:rsid w:val="00E35440"/>
    <w:rsid w:val="00E65D6E"/>
    <w:rsid w:val="00E73A11"/>
    <w:rsid w:val="00E917E0"/>
    <w:rsid w:val="00EA27E1"/>
    <w:rsid w:val="00ED6346"/>
    <w:rsid w:val="00EE6DD2"/>
    <w:rsid w:val="00F27C00"/>
    <w:rsid w:val="00F41288"/>
    <w:rsid w:val="00F517B6"/>
    <w:rsid w:val="00F96646"/>
    <w:rsid w:val="00FD1BEA"/>
    <w:rsid w:val="00FE196C"/>
    <w:rsid w:val="00FE50DF"/>
    <w:rsid w:val="00FE58FF"/>
    <w:rsid w:val="00FF2A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0"/>
      <w:szCs w:val="20"/>
      <w:lang w:val="es-ES" w:eastAsia="es-ES"/>
    </w:rPr>
  </w:style>
  <w:style w:type="paragraph" w:styleId="Ttulo1">
    <w:name w:val="heading 1"/>
    <w:basedOn w:val="Normal"/>
    <w:next w:val="Normal"/>
    <w:pPr>
      <w:keepNext/>
      <w:suppressAutoHyphens w:val="0"/>
      <w:jc w:val="center"/>
      <w:textAlignment w:val="auto"/>
      <w:outlineLvl w:val="0"/>
    </w:pPr>
    <w:rPr>
      <w:rFonts w:ascii="Phyllis" w:hAnsi="Phyllis"/>
      <w:sz w:val="32"/>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pPr>
  </w:style>
  <w:style w:type="character" w:customStyle="1" w:styleId="PiedepginaCar">
    <w:name w:val="Pie de página Car"/>
    <w:basedOn w:val="Fuentedeprrafopredeter"/>
  </w:style>
  <w:style w:type="paragraph" w:customStyle="1" w:styleId="Standard">
    <w:name w:val="Standard"/>
    <w:pPr>
      <w:suppressAutoHyphens/>
      <w:spacing w:after="0" w:line="240" w:lineRule="auto"/>
    </w:pPr>
    <w:rPr>
      <w:rFonts w:ascii="Times New Roman" w:eastAsia="Times New Roman" w:hAnsi="Times New Roman"/>
      <w:kern w:val="3"/>
      <w:sz w:val="24"/>
      <w:szCs w:val="24"/>
      <w:lang w:eastAsia="es-CO"/>
    </w:rPr>
  </w:style>
  <w:style w:type="paragraph" w:customStyle="1" w:styleId="Textbody">
    <w:name w:val="Text body"/>
    <w:basedOn w:val="Standard"/>
    <w:pPr>
      <w:spacing w:after="120"/>
    </w:pPr>
  </w:style>
  <w:style w:type="character" w:customStyle="1" w:styleId="Ttulo1Car">
    <w:name w:val="Título 1 Car"/>
    <w:basedOn w:val="Fuentedeprrafopredeter"/>
    <w:rPr>
      <w:rFonts w:ascii="Phyllis" w:eastAsia="Times New Roman" w:hAnsi="Phyllis"/>
      <w:sz w:val="32"/>
      <w:szCs w:val="20"/>
      <w:lang w:val="es" w:eastAsia="es-ES"/>
    </w:rPr>
  </w:style>
  <w:style w:type="paragraph" w:customStyle="1" w:styleId="E">
    <w:name w:val="E"/>
    <w:basedOn w:val="Normal"/>
    <w:next w:val="Ttulo"/>
    <w:pPr>
      <w:widowControl w:val="0"/>
      <w:suppressAutoHyphens w:val="0"/>
      <w:autoSpaceDE w:val="0"/>
      <w:jc w:val="center"/>
      <w:textAlignment w:val="auto"/>
    </w:pPr>
    <w:rPr>
      <w:rFonts w:ascii="Arial" w:hAnsi="Arial"/>
      <w:b/>
      <w:sz w:val="28"/>
      <w:lang w:val="es-MX"/>
    </w:rPr>
  </w:style>
  <w:style w:type="paragraph" w:styleId="Sangradetextonormal">
    <w:name w:val="Body Text Indent"/>
    <w:basedOn w:val="Normal"/>
    <w:pPr>
      <w:widowControl w:val="0"/>
      <w:suppressAutoHyphens w:val="0"/>
      <w:autoSpaceDE w:val="0"/>
      <w:ind w:left="-70" w:firstLine="70"/>
      <w:jc w:val="both"/>
      <w:textAlignment w:val="auto"/>
    </w:pPr>
    <w:rPr>
      <w:rFonts w:ascii="Arial" w:hAnsi="Arial"/>
      <w:sz w:val="28"/>
      <w:lang w:val="es-MX"/>
    </w:rPr>
  </w:style>
  <w:style w:type="character" w:customStyle="1" w:styleId="SangradetextonormalCar">
    <w:name w:val="Sangría de texto normal Car"/>
    <w:basedOn w:val="Fuentedeprrafopredeter"/>
    <w:rPr>
      <w:rFonts w:ascii="Arial" w:eastAsia="Times New Roman" w:hAnsi="Arial"/>
      <w:sz w:val="28"/>
      <w:szCs w:val="20"/>
      <w:lang w:val="es-MX" w:eastAsia="es-ES"/>
    </w:rPr>
  </w:style>
  <w:style w:type="paragraph" w:styleId="Textoindependiente">
    <w:name w:val="Body Text"/>
    <w:basedOn w:val="Normal"/>
    <w:pPr>
      <w:suppressAutoHyphens w:val="0"/>
      <w:jc w:val="both"/>
      <w:textAlignment w:val="auto"/>
    </w:pPr>
    <w:rPr>
      <w:rFonts w:ascii="Arial" w:hAnsi="Arial"/>
      <w:sz w:val="26"/>
      <w:lang w:val="es-MX"/>
    </w:rPr>
  </w:style>
  <w:style w:type="character" w:customStyle="1" w:styleId="TextoindependienteCar">
    <w:name w:val="Texto independiente Car"/>
    <w:basedOn w:val="Fuentedeprrafopredeter"/>
    <w:rPr>
      <w:rFonts w:ascii="Arial" w:eastAsia="Times New Roman" w:hAnsi="Arial"/>
      <w:sz w:val="26"/>
      <w:szCs w:val="20"/>
      <w:lang w:val="es-MX" w:eastAsia="es-ES"/>
    </w:rPr>
  </w:style>
  <w:style w:type="paragraph" w:styleId="Ttulo">
    <w:name w:val="Title"/>
    <w:basedOn w:val="Normal"/>
    <w:next w:val="Normal"/>
    <w:pPr>
      <w:pBdr>
        <w:bottom w:val="single" w:sz="8" w:space="4" w:color="4F81BD"/>
      </w:pBdr>
      <w:spacing w:after="300"/>
    </w:pPr>
    <w:rPr>
      <w:rFonts w:ascii="Cambria" w:hAnsi="Cambria"/>
      <w:color w:val="17365D"/>
      <w:spacing w:val="5"/>
      <w:kern w:val="3"/>
      <w:sz w:val="52"/>
      <w:szCs w:val="52"/>
    </w:rPr>
  </w:style>
  <w:style w:type="character" w:customStyle="1" w:styleId="TtuloCar">
    <w:name w:val="Título Car"/>
    <w:basedOn w:val="Fuentedeprrafopredeter"/>
    <w:rPr>
      <w:rFonts w:ascii="Cambria" w:eastAsia="Times New Roman" w:hAnsi="Cambria" w:cs="Times New Roman"/>
      <w:color w:val="17365D"/>
      <w:spacing w:val="5"/>
      <w:kern w:val="3"/>
      <w:sz w:val="52"/>
      <w:szCs w:val="52"/>
      <w:lang w:val="es-ES" w:eastAsia="es-ES"/>
    </w:rPr>
  </w:style>
  <w:style w:type="paragraph" w:customStyle="1" w:styleId="a">
    <w:basedOn w:val="Normal"/>
    <w:next w:val="Ttulo"/>
    <w:qFormat/>
    <w:rsid w:val="00CB3524"/>
    <w:pPr>
      <w:widowControl w:val="0"/>
      <w:suppressAutoHyphens w:val="0"/>
      <w:autoSpaceDE w:val="0"/>
      <w:jc w:val="center"/>
      <w:textAlignment w:val="auto"/>
    </w:pPr>
    <w:rPr>
      <w:rFonts w:ascii="Arial" w:hAnsi="Arial"/>
      <w:b/>
      <w:sz w:val="28"/>
      <w:lang w:val="es-MX"/>
    </w:rPr>
  </w:style>
  <w:style w:type="paragraph" w:styleId="Prrafodelista">
    <w:name w:val="List Paragraph"/>
    <w:basedOn w:val="Normal"/>
    <w:uiPriority w:val="1"/>
    <w:qFormat/>
    <w:rsid w:val="00CB3524"/>
    <w:pPr>
      <w:widowControl w:val="0"/>
      <w:suppressAutoHyphens w:val="0"/>
      <w:autoSpaceDE w:val="0"/>
      <w:ind w:left="431" w:right="188" w:hanging="284"/>
      <w:jc w:val="both"/>
      <w:textAlignment w:val="auto"/>
    </w:pPr>
    <w:rPr>
      <w:rFonts w:ascii="Arial" w:eastAsia="Arial" w:hAnsi="Arial" w:cs="Arial"/>
      <w:sz w:val="22"/>
      <w:szCs w:val="22"/>
      <w:lang w:bidi="es-ES"/>
    </w:rPr>
  </w:style>
  <w:style w:type="paragraph" w:customStyle="1" w:styleId="Style1">
    <w:name w:val="Style 1"/>
    <w:basedOn w:val="Normal"/>
    <w:uiPriority w:val="99"/>
    <w:rsid w:val="009F1F09"/>
    <w:pPr>
      <w:widowControl w:val="0"/>
      <w:suppressAutoHyphens w:val="0"/>
      <w:autoSpaceDE w:val="0"/>
      <w:adjustRightInd w:val="0"/>
      <w:textAlignment w:val="auto"/>
    </w:pPr>
    <w:rPr>
      <w:rFonts w:eastAsiaTheme="minorEastAsia"/>
      <w:lang w:val="en-US" w:eastAsia="es-CO"/>
    </w:rPr>
  </w:style>
  <w:style w:type="character" w:customStyle="1" w:styleId="CharacterStyle1">
    <w:name w:val="Character Style 1"/>
    <w:uiPriority w:val="99"/>
    <w:rsid w:val="009F1F09"/>
    <w:rPr>
      <w:sz w:val="20"/>
      <w:szCs w:val="20"/>
    </w:rPr>
  </w:style>
  <w:style w:type="character" w:customStyle="1" w:styleId="CharacterStyle2">
    <w:name w:val="Character Style 2"/>
    <w:uiPriority w:val="99"/>
    <w:rsid w:val="009F1F09"/>
    <w:rPr>
      <w:rFonts w:ascii="Arial" w:hAnsi="Arial" w:cs="Arial"/>
      <w:sz w:val="21"/>
      <w:szCs w:val="21"/>
    </w:rPr>
  </w:style>
  <w:style w:type="paragraph" w:styleId="Textodeglobo">
    <w:name w:val="Balloon Text"/>
    <w:basedOn w:val="Normal"/>
    <w:link w:val="TextodegloboCar"/>
    <w:uiPriority w:val="99"/>
    <w:semiHidden/>
    <w:unhideWhenUsed/>
    <w:rsid w:val="008B7C1B"/>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C1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0"/>
      <w:szCs w:val="20"/>
      <w:lang w:val="es-ES" w:eastAsia="es-ES"/>
    </w:rPr>
  </w:style>
  <w:style w:type="paragraph" w:styleId="Ttulo1">
    <w:name w:val="heading 1"/>
    <w:basedOn w:val="Normal"/>
    <w:next w:val="Normal"/>
    <w:pPr>
      <w:keepNext/>
      <w:suppressAutoHyphens w:val="0"/>
      <w:jc w:val="center"/>
      <w:textAlignment w:val="auto"/>
      <w:outlineLvl w:val="0"/>
    </w:pPr>
    <w:rPr>
      <w:rFonts w:ascii="Phyllis" w:hAnsi="Phyllis"/>
      <w:sz w:val="32"/>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pPr>
  </w:style>
  <w:style w:type="character" w:customStyle="1" w:styleId="PiedepginaCar">
    <w:name w:val="Pie de página Car"/>
    <w:basedOn w:val="Fuentedeprrafopredeter"/>
  </w:style>
  <w:style w:type="paragraph" w:customStyle="1" w:styleId="Standard">
    <w:name w:val="Standard"/>
    <w:pPr>
      <w:suppressAutoHyphens/>
      <w:spacing w:after="0" w:line="240" w:lineRule="auto"/>
    </w:pPr>
    <w:rPr>
      <w:rFonts w:ascii="Times New Roman" w:eastAsia="Times New Roman" w:hAnsi="Times New Roman"/>
      <w:kern w:val="3"/>
      <w:sz w:val="24"/>
      <w:szCs w:val="24"/>
      <w:lang w:eastAsia="es-CO"/>
    </w:rPr>
  </w:style>
  <w:style w:type="paragraph" w:customStyle="1" w:styleId="Textbody">
    <w:name w:val="Text body"/>
    <w:basedOn w:val="Standard"/>
    <w:pPr>
      <w:spacing w:after="120"/>
    </w:pPr>
  </w:style>
  <w:style w:type="character" w:customStyle="1" w:styleId="Ttulo1Car">
    <w:name w:val="Título 1 Car"/>
    <w:basedOn w:val="Fuentedeprrafopredeter"/>
    <w:rPr>
      <w:rFonts w:ascii="Phyllis" w:eastAsia="Times New Roman" w:hAnsi="Phyllis"/>
      <w:sz w:val="32"/>
      <w:szCs w:val="20"/>
      <w:lang w:val="es" w:eastAsia="es-ES"/>
    </w:rPr>
  </w:style>
  <w:style w:type="paragraph" w:customStyle="1" w:styleId="E">
    <w:name w:val="E"/>
    <w:basedOn w:val="Normal"/>
    <w:next w:val="Ttulo"/>
    <w:pPr>
      <w:widowControl w:val="0"/>
      <w:suppressAutoHyphens w:val="0"/>
      <w:autoSpaceDE w:val="0"/>
      <w:jc w:val="center"/>
      <w:textAlignment w:val="auto"/>
    </w:pPr>
    <w:rPr>
      <w:rFonts w:ascii="Arial" w:hAnsi="Arial"/>
      <w:b/>
      <w:sz w:val="28"/>
      <w:lang w:val="es-MX"/>
    </w:rPr>
  </w:style>
  <w:style w:type="paragraph" w:styleId="Sangradetextonormal">
    <w:name w:val="Body Text Indent"/>
    <w:basedOn w:val="Normal"/>
    <w:pPr>
      <w:widowControl w:val="0"/>
      <w:suppressAutoHyphens w:val="0"/>
      <w:autoSpaceDE w:val="0"/>
      <w:ind w:left="-70" w:firstLine="70"/>
      <w:jc w:val="both"/>
      <w:textAlignment w:val="auto"/>
    </w:pPr>
    <w:rPr>
      <w:rFonts w:ascii="Arial" w:hAnsi="Arial"/>
      <w:sz w:val="28"/>
      <w:lang w:val="es-MX"/>
    </w:rPr>
  </w:style>
  <w:style w:type="character" w:customStyle="1" w:styleId="SangradetextonormalCar">
    <w:name w:val="Sangría de texto normal Car"/>
    <w:basedOn w:val="Fuentedeprrafopredeter"/>
    <w:rPr>
      <w:rFonts w:ascii="Arial" w:eastAsia="Times New Roman" w:hAnsi="Arial"/>
      <w:sz w:val="28"/>
      <w:szCs w:val="20"/>
      <w:lang w:val="es-MX" w:eastAsia="es-ES"/>
    </w:rPr>
  </w:style>
  <w:style w:type="paragraph" w:styleId="Textoindependiente">
    <w:name w:val="Body Text"/>
    <w:basedOn w:val="Normal"/>
    <w:pPr>
      <w:suppressAutoHyphens w:val="0"/>
      <w:jc w:val="both"/>
      <w:textAlignment w:val="auto"/>
    </w:pPr>
    <w:rPr>
      <w:rFonts w:ascii="Arial" w:hAnsi="Arial"/>
      <w:sz w:val="26"/>
      <w:lang w:val="es-MX"/>
    </w:rPr>
  </w:style>
  <w:style w:type="character" w:customStyle="1" w:styleId="TextoindependienteCar">
    <w:name w:val="Texto independiente Car"/>
    <w:basedOn w:val="Fuentedeprrafopredeter"/>
    <w:rPr>
      <w:rFonts w:ascii="Arial" w:eastAsia="Times New Roman" w:hAnsi="Arial"/>
      <w:sz w:val="26"/>
      <w:szCs w:val="20"/>
      <w:lang w:val="es-MX" w:eastAsia="es-ES"/>
    </w:rPr>
  </w:style>
  <w:style w:type="paragraph" w:styleId="Ttulo">
    <w:name w:val="Title"/>
    <w:basedOn w:val="Normal"/>
    <w:next w:val="Normal"/>
    <w:pPr>
      <w:pBdr>
        <w:bottom w:val="single" w:sz="8" w:space="4" w:color="4F81BD"/>
      </w:pBdr>
      <w:spacing w:after="300"/>
    </w:pPr>
    <w:rPr>
      <w:rFonts w:ascii="Cambria" w:hAnsi="Cambria"/>
      <w:color w:val="17365D"/>
      <w:spacing w:val="5"/>
      <w:kern w:val="3"/>
      <w:sz w:val="52"/>
      <w:szCs w:val="52"/>
    </w:rPr>
  </w:style>
  <w:style w:type="character" w:customStyle="1" w:styleId="TtuloCar">
    <w:name w:val="Título Car"/>
    <w:basedOn w:val="Fuentedeprrafopredeter"/>
    <w:rPr>
      <w:rFonts w:ascii="Cambria" w:eastAsia="Times New Roman" w:hAnsi="Cambria" w:cs="Times New Roman"/>
      <w:color w:val="17365D"/>
      <w:spacing w:val="5"/>
      <w:kern w:val="3"/>
      <w:sz w:val="52"/>
      <w:szCs w:val="52"/>
      <w:lang w:val="es-ES" w:eastAsia="es-ES"/>
    </w:rPr>
  </w:style>
  <w:style w:type="paragraph" w:customStyle="1" w:styleId="a">
    <w:basedOn w:val="Normal"/>
    <w:next w:val="Ttulo"/>
    <w:qFormat/>
    <w:rsid w:val="00CB3524"/>
    <w:pPr>
      <w:widowControl w:val="0"/>
      <w:suppressAutoHyphens w:val="0"/>
      <w:autoSpaceDE w:val="0"/>
      <w:jc w:val="center"/>
      <w:textAlignment w:val="auto"/>
    </w:pPr>
    <w:rPr>
      <w:rFonts w:ascii="Arial" w:hAnsi="Arial"/>
      <w:b/>
      <w:sz w:val="28"/>
      <w:lang w:val="es-MX"/>
    </w:rPr>
  </w:style>
  <w:style w:type="paragraph" w:styleId="Prrafodelista">
    <w:name w:val="List Paragraph"/>
    <w:basedOn w:val="Normal"/>
    <w:uiPriority w:val="1"/>
    <w:qFormat/>
    <w:rsid w:val="00CB3524"/>
    <w:pPr>
      <w:widowControl w:val="0"/>
      <w:suppressAutoHyphens w:val="0"/>
      <w:autoSpaceDE w:val="0"/>
      <w:ind w:left="431" w:right="188" w:hanging="284"/>
      <w:jc w:val="both"/>
      <w:textAlignment w:val="auto"/>
    </w:pPr>
    <w:rPr>
      <w:rFonts w:ascii="Arial" w:eastAsia="Arial" w:hAnsi="Arial" w:cs="Arial"/>
      <w:sz w:val="22"/>
      <w:szCs w:val="22"/>
      <w:lang w:bidi="es-ES"/>
    </w:rPr>
  </w:style>
  <w:style w:type="paragraph" w:customStyle="1" w:styleId="Style1">
    <w:name w:val="Style 1"/>
    <w:basedOn w:val="Normal"/>
    <w:uiPriority w:val="99"/>
    <w:rsid w:val="009F1F09"/>
    <w:pPr>
      <w:widowControl w:val="0"/>
      <w:suppressAutoHyphens w:val="0"/>
      <w:autoSpaceDE w:val="0"/>
      <w:adjustRightInd w:val="0"/>
      <w:textAlignment w:val="auto"/>
    </w:pPr>
    <w:rPr>
      <w:rFonts w:eastAsiaTheme="minorEastAsia"/>
      <w:lang w:val="en-US" w:eastAsia="es-CO"/>
    </w:rPr>
  </w:style>
  <w:style w:type="character" w:customStyle="1" w:styleId="CharacterStyle1">
    <w:name w:val="Character Style 1"/>
    <w:uiPriority w:val="99"/>
    <w:rsid w:val="009F1F09"/>
    <w:rPr>
      <w:sz w:val="20"/>
      <w:szCs w:val="20"/>
    </w:rPr>
  </w:style>
  <w:style w:type="character" w:customStyle="1" w:styleId="CharacterStyle2">
    <w:name w:val="Character Style 2"/>
    <w:uiPriority w:val="99"/>
    <w:rsid w:val="009F1F09"/>
    <w:rPr>
      <w:rFonts w:ascii="Arial" w:hAnsi="Arial" w:cs="Arial"/>
      <w:sz w:val="21"/>
      <w:szCs w:val="21"/>
    </w:rPr>
  </w:style>
  <w:style w:type="paragraph" w:styleId="Textodeglobo">
    <w:name w:val="Balloon Text"/>
    <w:basedOn w:val="Normal"/>
    <w:link w:val="TextodegloboCar"/>
    <w:uiPriority w:val="99"/>
    <w:semiHidden/>
    <w:unhideWhenUsed/>
    <w:rsid w:val="008B7C1B"/>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C1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6AE8-AF41-4798-9655-863D66FA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8060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Dueñas Báez</dc:creator>
  <cp:lastModifiedBy>Deivi Dorena Alvarez Caviedes</cp:lastModifiedBy>
  <cp:revision>2</cp:revision>
  <cp:lastPrinted>2020-01-13T20:00:00Z</cp:lastPrinted>
  <dcterms:created xsi:type="dcterms:W3CDTF">2020-01-14T18:54:00Z</dcterms:created>
  <dcterms:modified xsi:type="dcterms:W3CDTF">2020-01-14T18:54:00Z</dcterms:modified>
</cp:coreProperties>
</file>