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6B" w:rsidRDefault="009C3C52">
      <w:r>
        <w:rPr>
          <w:noProof/>
          <w:lang w:eastAsia="es-CO"/>
        </w:rPr>
        <w:drawing>
          <wp:anchor distT="0" distB="0" distL="114300" distR="114300" simplePos="0" relativeHeight="251657728" behindDoc="1" locked="0" layoutInCell="1" allowOverlap="1">
            <wp:simplePos x="0" y="0"/>
            <wp:positionH relativeFrom="column">
              <wp:posOffset>-1042408</wp:posOffset>
            </wp:positionH>
            <wp:positionV relativeFrom="paragraph">
              <wp:posOffset>-826135</wp:posOffset>
            </wp:positionV>
            <wp:extent cx="7651217" cy="9910916"/>
            <wp:effectExtent l="0" t="0" r="6985" b="0"/>
            <wp:wrapNone/>
            <wp:docPr id="2" name="Imagen 2" descr="AGR-PAAC2019-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PAAC2019-Port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1217" cy="9910916"/>
                    </a:xfrm>
                    <a:prstGeom prst="rect">
                      <a:avLst/>
                    </a:prstGeom>
                    <a:noFill/>
                  </pic:spPr>
                </pic:pic>
              </a:graphicData>
            </a:graphic>
            <wp14:sizeRelH relativeFrom="page">
              <wp14:pctWidth>0</wp14:pctWidth>
            </wp14:sizeRelH>
            <wp14:sizeRelV relativeFrom="page">
              <wp14:pctHeight>0</wp14:pctHeight>
            </wp14:sizeRelV>
          </wp:anchor>
        </w:drawing>
      </w:r>
    </w:p>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6C58DA">
      <w:r>
        <w:rPr>
          <w:noProof/>
          <w:lang w:eastAsia="es-CO"/>
        </w:rPr>
        <mc:AlternateContent>
          <mc:Choice Requires="wps">
            <w:drawing>
              <wp:anchor distT="45720" distB="45720" distL="114300" distR="114300" simplePos="0" relativeHeight="251659776" behindDoc="0" locked="0" layoutInCell="1" allowOverlap="1">
                <wp:simplePos x="0" y="0"/>
                <wp:positionH relativeFrom="column">
                  <wp:posOffset>548640</wp:posOffset>
                </wp:positionH>
                <wp:positionV relativeFrom="paragraph">
                  <wp:posOffset>215900</wp:posOffset>
                </wp:positionV>
                <wp:extent cx="4733925" cy="6096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09600"/>
                        </a:xfrm>
                        <a:prstGeom prst="rect">
                          <a:avLst/>
                        </a:prstGeom>
                        <a:solidFill>
                          <a:srgbClr val="FFFFFF"/>
                        </a:solidFill>
                        <a:ln w="9525">
                          <a:solidFill>
                            <a:srgbClr val="000000"/>
                          </a:solidFill>
                          <a:miter lim="800000"/>
                          <a:headEnd/>
                          <a:tailEnd/>
                        </a:ln>
                      </wps:spPr>
                      <wps:txbx>
                        <w:txbxContent>
                          <w:p w:rsidR="006C58DA" w:rsidRPr="00B8134E" w:rsidRDefault="006C0140" w:rsidP="006C58DA">
                            <w:pPr>
                              <w:spacing w:after="0" w:line="240" w:lineRule="auto"/>
                              <w:jc w:val="center"/>
                              <w:rPr>
                                <w:sz w:val="32"/>
                              </w:rPr>
                            </w:pPr>
                            <w:bookmarkStart w:id="0" w:name="_GoBack"/>
                            <w:r w:rsidRPr="00B8134E">
                              <w:rPr>
                                <w:sz w:val="32"/>
                              </w:rPr>
                              <w:t xml:space="preserve">Componente </w:t>
                            </w:r>
                            <w:r w:rsidR="00B8134E" w:rsidRPr="00B8134E">
                              <w:rPr>
                                <w:sz w:val="32"/>
                              </w:rPr>
                              <w:t>4</w:t>
                            </w:r>
                          </w:p>
                          <w:p w:rsidR="006C58DA" w:rsidRPr="00B8134E" w:rsidRDefault="00B8134E" w:rsidP="006C58DA">
                            <w:pPr>
                              <w:spacing w:after="0" w:line="240" w:lineRule="auto"/>
                              <w:jc w:val="center"/>
                              <w:rPr>
                                <w:sz w:val="32"/>
                              </w:rPr>
                            </w:pPr>
                            <w:r w:rsidRPr="00B8134E">
                              <w:rPr>
                                <w:sz w:val="32"/>
                              </w:rPr>
                              <w:t>Mecanismos para mejorar la atención al ciudadano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3.2pt;margin-top:17pt;width:372.75pt;height: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">
                <v:textbox>
                  <w:txbxContent>
                    <w:p w:rsidR="006C58DA" w:rsidRPr="00B8134E" w:rsidRDefault="006C0140" w:rsidP="006C58DA">
                      <w:pPr>
                        <w:spacing w:after="0" w:line="240" w:lineRule="auto"/>
                        <w:jc w:val="center"/>
                        <w:rPr>
                          <w:sz w:val="32"/>
                        </w:rPr>
                      </w:pPr>
                      <w:bookmarkStart w:id="1" w:name="_GoBack"/>
                      <w:r w:rsidRPr="00B8134E">
                        <w:rPr>
                          <w:sz w:val="32"/>
                        </w:rPr>
                        <w:t xml:space="preserve">Componente </w:t>
                      </w:r>
                      <w:r w:rsidR="00B8134E" w:rsidRPr="00B8134E">
                        <w:rPr>
                          <w:sz w:val="32"/>
                        </w:rPr>
                        <w:t>4</w:t>
                      </w:r>
                    </w:p>
                    <w:p w:rsidR="006C58DA" w:rsidRPr="00B8134E" w:rsidRDefault="00B8134E" w:rsidP="006C58DA">
                      <w:pPr>
                        <w:spacing w:after="0" w:line="240" w:lineRule="auto"/>
                        <w:jc w:val="center"/>
                        <w:rPr>
                          <w:sz w:val="32"/>
                        </w:rPr>
                      </w:pPr>
                      <w:r w:rsidRPr="00B8134E">
                        <w:rPr>
                          <w:sz w:val="32"/>
                        </w:rPr>
                        <w:t>Mecanismos para mejorar la atención al ciudadano</w:t>
                      </w:r>
                      <w:bookmarkEnd w:id="1"/>
                    </w:p>
                  </w:txbxContent>
                </v:textbox>
                <w10:wrap type="square"/>
              </v:shape>
            </w:pict>
          </mc:Fallback>
        </mc:AlternateContent>
      </w:r>
    </w:p>
    <w:p w:rsidR="00F545D4" w:rsidRDefault="00F545D4"/>
    <w:p w:rsidR="00F545D4" w:rsidRDefault="00F545D4"/>
    <w:p w:rsidR="00F545D4" w:rsidRDefault="00F545D4"/>
    <w:p w:rsidR="00F545D4" w:rsidRDefault="00F545D4"/>
    <w:p w:rsidR="00F545D4" w:rsidRDefault="00F545D4"/>
    <w:p w:rsidR="00F545D4" w:rsidRDefault="006C58DA">
      <w:r>
        <w:rPr>
          <w:noProof/>
          <w:lang w:eastAsia="es-CO"/>
        </w:rPr>
        <mc:AlternateContent>
          <mc:Choice Requires="wps">
            <w:drawing>
              <wp:anchor distT="45720" distB="45720" distL="114300" distR="114300" simplePos="0" relativeHeight="251661824" behindDoc="0" locked="0" layoutInCell="1" allowOverlap="1" wp14:anchorId="29512EE0" wp14:editId="2A800378">
                <wp:simplePos x="0" y="0"/>
                <wp:positionH relativeFrom="column">
                  <wp:posOffset>1940560</wp:posOffset>
                </wp:positionH>
                <wp:positionV relativeFrom="paragraph">
                  <wp:posOffset>60960</wp:posOffset>
                </wp:positionV>
                <wp:extent cx="1593850" cy="277495"/>
                <wp:effectExtent l="0" t="0" r="25400" b="273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77495"/>
                        </a:xfrm>
                        <a:prstGeom prst="rect">
                          <a:avLst/>
                        </a:prstGeom>
                        <a:solidFill>
                          <a:srgbClr val="FFFFFF"/>
                        </a:solidFill>
                        <a:ln w="9525">
                          <a:solidFill>
                            <a:srgbClr val="000000"/>
                          </a:solidFill>
                          <a:miter lim="800000"/>
                          <a:headEnd/>
                          <a:tailEnd/>
                        </a:ln>
                      </wps:spPr>
                      <wps:txbx>
                        <w:txbxContent>
                          <w:p w:rsidR="006C58DA" w:rsidRPr="00282EBE" w:rsidRDefault="006C58DA" w:rsidP="006C58DA">
                            <w:pPr>
                              <w:spacing w:after="0" w:line="240" w:lineRule="auto"/>
                              <w:jc w:val="center"/>
                              <w:rPr>
                                <w:sz w:val="24"/>
                              </w:rPr>
                            </w:pPr>
                            <w:r w:rsidRPr="00282EBE">
                              <w:rPr>
                                <w:sz w:val="24"/>
                              </w:rPr>
                              <w:t>Versión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12EE0" id="_x0000_s1027" type="#_x0000_t202" style="position:absolute;margin-left:152.8pt;margin-top:4.8pt;width:125.5pt;height:21.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">
                <v:textbox>
                  <w:txbxContent>
                    <w:p w:rsidR="006C58DA" w:rsidRPr="00282EBE" w:rsidRDefault="006C58DA" w:rsidP="006C58DA">
                      <w:pPr>
                        <w:spacing w:after="0" w:line="240" w:lineRule="auto"/>
                        <w:jc w:val="center"/>
                        <w:rPr>
                          <w:sz w:val="24"/>
                        </w:rPr>
                      </w:pPr>
                      <w:r w:rsidRPr="00282EBE">
                        <w:rPr>
                          <w:sz w:val="24"/>
                        </w:rPr>
                        <w:t>Versión 1.0</w:t>
                      </w:r>
                    </w:p>
                  </w:txbxContent>
                </v:textbox>
                <w10:wrap type="square"/>
              </v:shape>
            </w:pict>
          </mc:Fallback>
        </mc:AlternateContent>
      </w:r>
    </w:p>
    <w:p w:rsidR="00F545D4" w:rsidRDefault="00F545D4"/>
    <w:p w:rsidR="00F545D4" w:rsidRDefault="00F545D4"/>
    <w:p w:rsidR="00F545D4" w:rsidRDefault="00F545D4"/>
    <w:p w:rsidR="00F545D4" w:rsidRDefault="00F545D4"/>
    <w:p w:rsidR="00F545D4" w:rsidRDefault="00F545D4"/>
    <w:p w:rsidR="00D06018" w:rsidRPr="00E56854" w:rsidRDefault="00D06018" w:rsidP="00D06018">
      <w:pPr>
        <w:pStyle w:val="Ttulo1"/>
        <w:spacing w:line="240" w:lineRule="auto"/>
        <w:jc w:val="both"/>
        <w:rPr>
          <w:color w:val="4F81BD" w:themeColor="accent1"/>
        </w:rPr>
      </w:pPr>
      <w:bookmarkStart w:id="2" w:name="_Toc536609197"/>
      <w:r w:rsidRPr="00E56854">
        <w:t>Componente 4.  Mecanismos para mejorar  la atención al ciudadano</w:t>
      </w:r>
      <w:bookmarkEnd w:id="2"/>
    </w:p>
    <w:p w:rsidR="00D06018" w:rsidRPr="00E56854" w:rsidRDefault="00D06018" w:rsidP="00D06018">
      <w:pPr>
        <w:pStyle w:val="Prrafodelista"/>
        <w:spacing w:after="0" w:line="240" w:lineRule="auto"/>
        <w:ind w:left="0"/>
        <w:contextualSpacing w:val="0"/>
        <w:jc w:val="both"/>
        <w:rPr>
          <w:rFonts w:cs="Arial"/>
          <w:color w:val="4F81BD" w:themeColor="accent1"/>
          <w:szCs w:val="24"/>
        </w:rPr>
      </w:pPr>
    </w:p>
    <w:p w:rsidR="00D06018" w:rsidRPr="00E56854" w:rsidRDefault="00D06018" w:rsidP="00D06018">
      <w:pPr>
        <w:pStyle w:val="Prrafodelista"/>
        <w:spacing w:after="0" w:line="240" w:lineRule="auto"/>
        <w:ind w:left="0"/>
        <w:contextualSpacing w:val="0"/>
        <w:jc w:val="both"/>
        <w:rPr>
          <w:rFonts w:cs="Arial"/>
          <w:szCs w:val="24"/>
        </w:rPr>
      </w:pPr>
      <w:r w:rsidRPr="00E56854">
        <w:rPr>
          <w:rFonts w:cs="Arial"/>
          <w:szCs w:val="24"/>
        </w:rPr>
        <w:t xml:space="preserve">En cumplimiento de las disposiciones constitucionales y legales, la Auditoría General de la República cuenta con los siguientes instrumentos de gestión para la adecuada atención de las diferentes modalidades del derecho de petición: </w:t>
      </w:r>
    </w:p>
    <w:p w:rsidR="00D06018" w:rsidRPr="00E56854" w:rsidRDefault="00D06018" w:rsidP="00D06018">
      <w:pPr>
        <w:pStyle w:val="Prrafodelista"/>
        <w:spacing w:after="0" w:line="240" w:lineRule="auto"/>
        <w:ind w:left="0"/>
        <w:contextualSpacing w:val="0"/>
        <w:jc w:val="both"/>
        <w:rPr>
          <w:rFonts w:cs="Arial"/>
          <w:szCs w:val="24"/>
        </w:rPr>
      </w:pPr>
    </w:p>
    <w:p w:rsidR="00D06018" w:rsidRPr="00E56854" w:rsidRDefault="00D06018" w:rsidP="00D06018">
      <w:pPr>
        <w:pStyle w:val="Prrafodelista"/>
        <w:numPr>
          <w:ilvl w:val="0"/>
          <w:numId w:val="1"/>
        </w:numPr>
        <w:spacing w:after="0" w:line="240" w:lineRule="auto"/>
        <w:ind w:left="284" w:hanging="284"/>
        <w:contextualSpacing w:val="0"/>
        <w:jc w:val="both"/>
        <w:rPr>
          <w:rFonts w:cs="Arial"/>
          <w:szCs w:val="24"/>
        </w:rPr>
      </w:pPr>
      <w:r w:rsidRPr="00E56854">
        <w:rPr>
          <w:rFonts w:cs="Arial"/>
          <w:szCs w:val="24"/>
        </w:rPr>
        <w:t xml:space="preserve">Resolución orgánica 006 de 2016, a través de la cual se ha reglamentado internamente la atención de las diferentes modalidades del derecho de petición y cuya elaboración tuvo en cuenta el marco normativo vigente aplicable, especialmente, lo relacionado con los cambios introducidos por las leyes 1755 de 2015, 1757 de 2015, 1712 de 2014 y 1437 de 2011. </w:t>
      </w:r>
    </w:p>
    <w:p w:rsidR="00D06018" w:rsidRPr="00E56854" w:rsidRDefault="00D06018" w:rsidP="00D06018">
      <w:pPr>
        <w:pStyle w:val="Prrafodelista"/>
        <w:spacing w:after="0" w:line="240" w:lineRule="auto"/>
        <w:ind w:left="284" w:hanging="284"/>
        <w:contextualSpacing w:val="0"/>
        <w:jc w:val="both"/>
        <w:rPr>
          <w:rFonts w:cs="Arial"/>
          <w:szCs w:val="24"/>
        </w:rPr>
      </w:pPr>
    </w:p>
    <w:p w:rsidR="00D06018" w:rsidRPr="00E56854" w:rsidRDefault="00D06018" w:rsidP="00D06018">
      <w:pPr>
        <w:pStyle w:val="Prrafodelista"/>
        <w:numPr>
          <w:ilvl w:val="0"/>
          <w:numId w:val="1"/>
        </w:numPr>
        <w:spacing w:after="0" w:line="240" w:lineRule="auto"/>
        <w:ind w:left="284" w:hanging="284"/>
        <w:contextualSpacing w:val="0"/>
        <w:jc w:val="both"/>
        <w:rPr>
          <w:rFonts w:cs="Arial"/>
          <w:szCs w:val="24"/>
        </w:rPr>
      </w:pPr>
      <w:r w:rsidRPr="00E56854">
        <w:rPr>
          <w:rFonts w:cs="Arial"/>
          <w:szCs w:val="24"/>
        </w:rPr>
        <w:t>Procedimiento interno PC.210.P02.P, a través del cual se describen de manera detallada los pasos que se deben seguir para atender adecuadamente los derechos de petición, los términos que deben observarse para el cumplimiento de cada uno de los pasos señalados, los responsables de cada uno de ellos y algunas definiciones necesarias para garantizar el adecuado flujo del proceso. Durante 2018 la Auditoría Delegada para la Vigilancia de la Gestión Fiscal realizó nuevos cambios a este documento con el fin de garantizar una mejor prestación del servicio a los peticionarios.</w:t>
      </w:r>
    </w:p>
    <w:p w:rsidR="00D06018" w:rsidRPr="00E56854" w:rsidRDefault="00D06018" w:rsidP="00D06018">
      <w:pPr>
        <w:pStyle w:val="Prrafodelista"/>
        <w:spacing w:line="240" w:lineRule="auto"/>
        <w:ind w:left="284" w:hanging="284"/>
        <w:rPr>
          <w:rFonts w:cs="Arial"/>
          <w:szCs w:val="24"/>
        </w:rPr>
      </w:pPr>
    </w:p>
    <w:p w:rsidR="00D06018" w:rsidRPr="00E56854" w:rsidRDefault="00D06018" w:rsidP="00D06018">
      <w:pPr>
        <w:pStyle w:val="Prrafodelista"/>
        <w:numPr>
          <w:ilvl w:val="0"/>
          <w:numId w:val="2"/>
        </w:numPr>
        <w:autoSpaceDE w:val="0"/>
        <w:autoSpaceDN w:val="0"/>
        <w:adjustRightInd w:val="0"/>
        <w:spacing w:after="0" w:line="240" w:lineRule="auto"/>
        <w:ind w:left="284" w:hanging="284"/>
        <w:jc w:val="both"/>
        <w:rPr>
          <w:rFonts w:cs="Arial"/>
          <w:szCs w:val="24"/>
        </w:rPr>
      </w:pPr>
      <w:r w:rsidRPr="00E56854">
        <w:rPr>
          <w:rFonts w:cs="Arial"/>
          <w:szCs w:val="24"/>
        </w:rPr>
        <w:t xml:space="preserve">Carta de Trato Digno al Usuario, a través de este documento la AGR señala de manera precisa los derechos que garantiza a todos los ciudadanos que presenten derechos de petición, también se informa sobre los horarios de atención, las direcciones de las gerencias seccionales, las líneas telefónicas y los correos electrónicos habilitados para la atención de ciudadanos. Finalmente, se informa acerca de la línea 018000120205 y de la manera de acceder al aplicativo SIA-ATC a través de la página web de la entidad para el registro de peticiones. </w:t>
      </w:r>
    </w:p>
    <w:p w:rsidR="00D06018" w:rsidRPr="00E56854" w:rsidRDefault="00D06018" w:rsidP="00D06018">
      <w:pPr>
        <w:pStyle w:val="Prrafodelista"/>
        <w:spacing w:line="240" w:lineRule="auto"/>
        <w:ind w:left="284" w:hanging="284"/>
        <w:rPr>
          <w:rFonts w:cs="Arial"/>
          <w:szCs w:val="24"/>
        </w:rPr>
      </w:pPr>
    </w:p>
    <w:p w:rsidR="00D06018" w:rsidRDefault="00D06018" w:rsidP="00D06018">
      <w:pPr>
        <w:pStyle w:val="Prrafodelista"/>
        <w:numPr>
          <w:ilvl w:val="0"/>
          <w:numId w:val="1"/>
        </w:numPr>
        <w:spacing w:after="0" w:line="240" w:lineRule="auto"/>
        <w:ind w:left="284" w:hanging="284"/>
        <w:contextualSpacing w:val="0"/>
        <w:jc w:val="both"/>
        <w:rPr>
          <w:rFonts w:cs="Arial"/>
          <w:szCs w:val="24"/>
        </w:rPr>
      </w:pPr>
      <w:r w:rsidRPr="00E56854">
        <w:rPr>
          <w:rFonts w:cs="Arial"/>
          <w:szCs w:val="24"/>
        </w:rPr>
        <w:t>Aplicativo SIA-ATC: Este es el recurso de gestión de la información con que cuenta la Auditoría General de la República para tramitar las peticiones que presentan los ciudadanos.</w:t>
      </w:r>
    </w:p>
    <w:p w:rsidR="00D06018" w:rsidRDefault="00D06018" w:rsidP="00D06018">
      <w:pPr>
        <w:pStyle w:val="Prrafodelista"/>
        <w:spacing w:after="0" w:line="240" w:lineRule="auto"/>
        <w:ind w:left="284"/>
        <w:contextualSpacing w:val="0"/>
        <w:jc w:val="both"/>
        <w:rPr>
          <w:rFonts w:cs="Arial"/>
          <w:szCs w:val="24"/>
        </w:rPr>
      </w:pPr>
    </w:p>
    <w:p w:rsidR="00D06018" w:rsidRDefault="00D06018" w:rsidP="00D06018">
      <w:pPr>
        <w:pStyle w:val="Prrafodelista"/>
        <w:numPr>
          <w:ilvl w:val="0"/>
          <w:numId w:val="1"/>
        </w:numPr>
        <w:spacing w:after="0" w:line="240" w:lineRule="auto"/>
        <w:ind w:left="284" w:hanging="284"/>
        <w:contextualSpacing w:val="0"/>
        <w:jc w:val="both"/>
        <w:rPr>
          <w:rFonts w:cs="Arial"/>
          <w:szCs w:val="24"/>
        </w:rPr>
      </w:pPr>
      <w:r w:rsidRPr="00BD366C">
        <w:rPr>
          <w:rFonts w:cs="Arial"/>
          <w:szCs w:val="24"/>
        </w:rPr>
        <w:t>El aplicativo se encuentra alojado en la página de la entidad y a él se puede acceder vía internet cualquier día de la semana. Internamente esta herramienta permite registrar las peticiones presentadas ante la AGR, asignar su atención entre las dependencias del nivel central o desconcentrado y controlar la gestión adelantada por cada una de ellas; también permite generar estadísticas sobre la atención prestada, las cuales son utilizadas en los informes trimestrales de gestión que se pueden consultar en la página web de la AGR.</w:t>
      </w:r>
    </w:p>
    <w:p w:rsidR="00D06018" w:rsidRPr="00D06018" w:rsidRDefault="00D06018" w:rsidP="00D06018">
      <w:pPr>
        <w:pStyle w:val="Prrafodelista"/>
        <w:rPr>
          <w:rFonts w:cs="Arial"/>
          <w:szCs w:val="24"/>
        </w:rPr>
      </w:pPr>
    </w:p>
    <w:p w:rsidR="00D06018" w:rsidRDefault="00D06018" w:rsidP="00D06018">
      <w:pPr>
        <w:pStyle w:val="Prrafodelista"/>
        <w:numPr>
          <w:ilvl w:val="0"/>
          <w:numId w:val="1"/>
        </w:numPr>
        <w:spacing w:after="0" w:line="240" w:lineRule="auto"/>
        <w:ind w:left="284" w:hanging="284"/>
        <w:contextualSpacing w:val="0"/>
        <w:jc w:val="both"/>
        <w:rPr>
          <w:rFonts w:cs="Arial"/>
          <w:szCs w:val="24"/>
        </w:rPr>
      </w:pPr>
      <w:r w:rsidRPr="00BD366C">
        <w:rPr>
          <w:rFonts w:cs="Arial"/>
          <w:szCs w:val="24"/>
        </w:rPr>
        <w:lastRenderedPageBreak/>
        <w:t xml:space="preserve">Adicionalmente, en cumplimiento de la función de </w:t>
      </w:r>
      <w:proofErr w:type="spellStart"/>
      <w:r w:rsidRPr="00BD366C">
        <w:rPr>
          <w:rFonts w:cs="Arial"/>
          <w:szCs w:val="24"/>
        </w:rPr>
        <w:t>coadyuvancia</w:t>
      </w:r>
      <w:proofErr w:type="spellEnd"/>
      <w:r w:rsidRPr="00BD366C">
        <w:rPr>
          <w:rFonts w:cs="Arial"/>
          <w:szCs w:val="24"/>
        </w:rPr>
        <w:t>, la AGR ha suscrito convenios con diferentes contralorías territoriales para suministrarles esta herramienta, de tal manera que resulte más sencillo acercar a la ciudadanía con los organismos de control fiscal gracias a sus atributos de accesibilidad y de seguimiento a la gestión. Las contralorías que están adelantando este proceso son las siguientes: Municipal de Bucaramanga, Municipal de Armenia, Municipal de Tuluá, Municipal de Sincelejo, Municipal de Dosquebradas, Municipal de Floridablanca, Municipal de Pasto, Municipal de Soledad, Municipal de Tunja, Municipal de Valledupar, Departamental de amazonas, Departamental de Caquetá, Departamental del Quindío, Departamental de Sucre, Departamental del Atlántico, Departamental del Guainía, Departamental de Boyacá, Departamental del Cesar, Departamental de Huila, Departamental de Santander, Departamental de Nariño, Departamental de Vichada y Departamental de Putumayo.</w:t>
      </w: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D06018">
      <w:pPr>
        <w:rPr>
          <w:rFonts w:cs="Arial"/>
          <w:szCs w:val="24"/>
        </w:rPr>
      </w:pPr>
    </w:p>
    <w:p w:rsidR="00455F59" w:rsidRDefault="00455F59" w:rsidP="00455F59">
      <w:pPr>
        <w:pStyle w:val="Prrafodelista"/>
        <w:autoSpaceDE w:val="0"/>
        <w:autoSpaceDN w:val="0"/>
        <w:adjustRightInd w:val="0"/>
        <w:spacing w:after="0" w:line="240" w:lineRule="auto"/>
        <w:jc w:val="center"/>
        <w:rPr>
          <w:rFonts w:cs="Arial"/>
          <w:b/>
          <w:szCs w:val="24"/>
        </w:rPr>
        <w:sectPr w:rsidR="00455F59" w:rsidSect="00F545D4">
          <w:headerReference w:type="even" r:id="rId9"/>
          <w:headerReference w:type="default" r:id="rId10"/>
          <w:headerReference w:type="first" r:id="rId11"/>
          <w:pgSz w:w="12240" w:h="15840" w:code="131"/>
          <w:pgMar w:top="1417" w:right="1701" w:bottom="1417" w:left="1701" w:header="708" w:footer="708" w:gutter="0"/>
          <w:cols w:space="708"/>
          <w:docGrid w:linePitch="360"/>
        </w:sectPr>
      </w:pPr>
    </w:p>
    <w:p w:rsidR="00455F59" w:rsidRDefault="00455F59" w:rsidP="00455F59">
      <w:pPr>
        <w:pStyle w:val="Prrafodelista"/>
        <w:autoSpaceDE w:val="0"/>
        <w:autoSpaceDN w:val="0"/>
        <w:adjustRightInd w:val="0"/>
        <w:spacing w:after="0" w:line="240" w:lineRule="auto"/>
        <w:jc w:val="center"/>
        <w:rPr>
          <w:rFonts w:cs="Arial"/>
          <w:b/>
          <w:szCs w:val="24"/>
        </w:rPr>
      </w:pPr>
      <w:r w:rsidRPr="00BA3993">
        <w:rPr>
          <w:rFonts w:cs="Arial"/>
          <w:b/>
          <w:szCs w:val="24"/>
        </w:rPr>
        <w:lastRenderedPageBreak/>
        <w:t>MECANISMOS PARA MEJORAR LA ATENCIÓN AL CIUDADANO</w:t>
      </w:r>
    </w:p>
    <w:p w:rsidR="00455F59" w:rsidRDefault="00455F59" w:rsidP="00455F59">
      <w:pPr>
        <w:autoSpaceDE w:val="0"/>
        <w:autoSpaceDN w:val="0"/>
        <w:adjustRightInd w:val="0"/>
        <w:spacing w:after="0" w:line="240" w:lineRule="auto"/>
        <w:jc w:val="center"/>
        <w:rPr>
          <w:rFonts w:cs="Arial"/>
          <w:b/>
          <w:color w:val="4F81BD" w:themeColor="accent1"/>
          <w:szCs w:val="24"/>
        </w:rPr>
      </w:pPr>
    </w:p>
    <w:tbl>
      <w:tblPr>
        <w:tblW w:w="136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9"/>
        <w:gridCol w:w="446"/>
        <w:gridCol w:w="2084"/>
        <w:gridCol w:w="2464"/>
        <w:gridCol w:w="2461"/>
        <w:gridCol w:w="1541"/>
        <w:gridCol w:w="1243"/>
        <w:gridCol w:w="1439"/>
      </w:tblGrid>
      <w:tr w:rsidR="00455F59" w:rsidRPr="007910AB" w:rsidTr="004F7273">
        <w:trPr>
          <w:trHeight w:val="630"/>
          <w:tblHeader/>
        </w:trPr>
        <w:tc>
          <w:tcPr>
            <w:tcW w:w="13667" w:type="dxa"/>
            <w:gridSpan w:val="8"/>
            <w:shd w:val="clear" w:color="000000" w:fill="8DB4E2"/>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Cs w:val="20"/>
                <w:lang w:val="es-MX" w:eastAsia="es-MX"/>
              </w:rPr>
              <w:t>Componente 4: Atención al ciudadano</w:t>
            </w:r>
          </w:p>
        </w:tc>
      </w:tr>
      <w:tr w:rsidR="00455F59" w:rsidRPr="007910AB" w:rsidTr="004F7273">
        <w:trPr>
          <w:trHeight w:val="420"/>
          <w:tblHeader/>
        </w:trPr>
        <w:tc>
          <w:tcPr>
            <w:tcW w:w="1989" w:type="dxa"/>
            <w:vMerge w:val="restart"/>
            <w:shd w:val="clear" w:color="000000" w:fill="8DB4E2"/>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r w:rsidRPr="007910AB">
              <w:rPr>
                <w:rFonts w:eastAsia="Times New Roman" w:cs="Arial"/>
                <w:color w:val="000000"/>
                <w:szCs w:val="20"/>
                <w:lang w:val="es-MX" w:eastAsia="es-MX"/>
              </w:rPr>
              <w:t>Subcomponente</w:t>
            </w:r>
          </w:p>
        </w:tc>
        <w:tc>
          <w:tcPr>
            <w:tcW w:w="2530" w:type="dxa"/>
            <w:gridSpan w:val="2"/>
            <w:vMerge w:val="restart"/>
            <w:shd w:val="clear" w:color="000000" w:fill="8DB4E2"/>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r w:rsidRPr="007910AB">
              <w:rPr>
                <w:rFonts w:eastAsia="Times New Roman" w:cs="Arial"/>
                <w:color w:val="000000"/>
                <w:szCs w:val="20"/>
                <w:lang w:val="es-MX" w:eastAsia="es-MX"/>
              </w:rPr>
              <w:t>Actividades</w:t>
            </w:r>
          </w:p>
        </w:tc>
        <w:tc>
          <w:tcPr>
            <w:tcW w:w="2464" w:type="dxa"/>
            <w:vMerge w:val="restart"/>
            <w:shd w:val="clear" w:color="000000" w:fill="8DB4E2"/>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r w:rsidRPr="007910AB">
              <w:rPr>
                <w:rFonts w:eastAsia="Times New Roman" w:cs="Arial"/>
                <w:color w:val="000000"/>
                <w:szCs w:val="20"/>
                <w:lang w:val="es-MX" w:eastAsia="es-MX"/>
              </w:rPr>
              <w:t>Meta o producto</w:t>
            </w:r>
          </w:p>
        </w:tc>
        <w:tc>
          <w:tcPr>
            <w:tcW w:w="2461" w:type="dxa"/>
            <w:vMerge w:val="restart"/>
            <w:shd w:val="clear" w:color="000000" w:fill="8DB4E2"/>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r w:rsidRPr="007910AB">
              <w:rPr>
                <w:rFonts w:eastAsia="Times New Roman" w:cs="Arial"/>
                <w:color w:val="000000"/>
                <w:szCs w:val="20"/>
                <w:lang w:val="es-MX" w:eastAsia="es-MX"/>
              </w:rPr>
              <w:t>Recursos y fuente de recursos</w:t>
            </w:r>
          </w:p>
        </w:tc>
        <w:tc>
          <w:tcPr>
            <w:tcW w:w="1541" w:type="dxa"/>
            <w:vMerge w:val="restart"/>
            <w:shd w:val="clear" w:color="000000" w:fill="8DB4E2"/>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r w:rsidRPr="007910AB">
              <w:rPr>
                <w:rFonts w:eastAsia="Times New Roman" w:cs="Arial"/>
                <w:color w:val="000000"/>
                <w:szCs w:val="20"/>
                <w:lang w:val="es-MX" w:eastAsia="es-MX"/>
              </w:rPr>
              <w:t>Responsable</w:t>
            </w:r>
          </w:p>
        </w:tc>
        <w:tc>
          <w:tcPr>
            <w:tcW w:w="2682" w:type="dxa"/>
            <w:gridSpan w:val="2"/>
            <w:shd w:val="clear" w:color="000000" w:fill="8DB4E2"/>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r w:rsidRPr="007910AB">
              <w:rPr>
                <w:rFonts w:eastAsia="Times New Roman" w:cs="Arial"/>
                <w:color w:val="000000"/>
                <w:szCs w:val="20"/>
                <w:lang w:val="es-MX" w:eastAsia="es-MX"/>
              </w:rPr>
              <w:t>Fecha programada</w:t>
            </w:r>
          </w:p>
        </w:tc>
      </w:tr>
      <w:tr w:rsidR="00455F59" w:rsidRPr="007910AB" w:rsidTr="004F7273">
        <w:trPr>
          <w:trHeight w:val="628"/>
          <w:tblHeader/>
        </w:trPr>
        <w:tc>
          <w:tcPr>
            <w:tcW w:w="1989" w:type="dxa"/>
            <w:vMerge/>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p>
        </w:tc>
        <w:tc>
          <w:tcPr>
            <w:tcW w:w="2530" w:type="dxa"/>
            <w:gridSpan w:val="2"/>
            <w:vMerge/>
            <w:vAlign w:val="center"/>
            <w:hideMark/>
          </w:tcPr>
          <w:p w:rsidR="00455F59" w:rsidRPr="007910AB" w:rsidRDefault="00455F59" w:rsidP="004F7273">
            <w:pPr>
              <w:spacing w:after="0" w:line="240" w:lineRule="auto"/>
              <w:rPr>
                <w:rFonts w:eastAsia="Times New Roman" w:cs="Arial"/>
                <w:color w:val="000000"/>
                <w:szCs w:val="20"/>
                <w:lang w:val="es-MX" w:eastAsia="es-MX"/>
              </w:rPr>
            </w:pPr>
          </w:p>
        </w:tc>
        <w:tc>
          <w:tcPr>
            <w:tcW w:w="2464" w:type="dxa"/>
            <w:vMerge/>
            <w:vAlign w:val="center"/>
            <w:hideMark/>
          </w:tcPr>
          <w:p w:rsidR="00455F59" w:rsidRPr="007910AB" w:rsidRDefault="00455F59" w:rsidP="004F7273">
            <w:pPr>
              <w:spacing w:after="0" w:line="240" w:lineRule="auto"/>
              <w:rPr>
                <w:rFonts w:eastAsia="Times New Roman" w:cs="Arial"/>
                <w:color w:val="000000"/>
                <w:szCs w:val="20"/>
                <w:lang w:val="es-MX" w:eastAsia="es-MX"/>
              </w:rPr>
            </w:pPr>
          </w:p>
        </w:tc>
        <w:tc>
          <w:tcPr>
            <w:tcW w:w="2461" w:type="dxa"/>
            <w:vMerge/>
            <w:vAlign w:val="center"/>
            <w:hideMark/>
          </w:tcPr>
          <w:p w:rsidR="00455F59" w:rsidRPr="007910AB" w:rsidRDefault="00455F59" w:rsidP="004F7273">
            <w:pPr>
              <w:spacing w:after="0" w:line="240" w:lineRule="auto"/>
              <w:rPr>
                <w:rFonts w:eastAsia="Times New Roman" w:cs="Arial"/>
                <w:color w:val="000000"/>
                <w:szCs w:val="20"/>
                <w:lang w:val="es-MX" w:eastAsia="es-MX"/>
              </w:rPr>
            </w:pPr>
          </w:p>
        </w:tc>
        <w:tc>
          <w:tcPr>
            <w:tcW w:w="1541" w:type="dxa"/>
            <w:vMerge/>
            <w:vAlign w:val="center"/>
            <w:hideMark/>
          </w:tcPr>
          <w:p w:rsidR="00455F59" w:rsidRPr="007910AB" w:rsidRDefault="00455F59" w:rsidP="004F7273">
            <w:pPr>
              <w:spacing w:after="0" w:line="240" w:lineRule="auto"/>
              <w:rPr>
                <w:rFonts w:eastAsia="Times New Roman" w:cs="Arial"/>
                <w:color w:val="000000"/>
                <w:szCs w:val="20"/>
                <w:lang w:val="es-MX" w:eastAsia="es-MX"/>
              </w:rPr>
            </w:pPr>
          </w:p>
        </w:tc>
        <w:tc>
          <w:tcPr>
            <w:tcW w:w="1243" w:type="dxa"/>
            <w:shd w:val="clear" w:color="000000" w:fill="8DB4E2"/>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r w:rsidRPr="007910AB">
              <w:rPr>
                <w:rFonts w:eastAsia="Times New Roman" w:cs="Arial"/>
                <w:color w:val="000000"/>
                <w:szCs w:val="20"/>
                <w:lang w:val="es-MX" w:eastAsia="es-MX"/>
              </w:rPr>
              <w:t>Inicio</w:t>
            </w:r>
          </w:p>
        </w:tc>
        <w:tc>
          <w:tcPr>
            <w:tcW w:w="1439" w:type="dxa"/>
            <w:shd w:val="clear" w:color="000000" w:fill="8DB4E2"/>
            <w:vAlign w:val="center"/>
            <w:hideMark/>
          </w:tcPr>
          <w:p w:rsidR="00455F59" w:rsidRPr="007910AB" w:rsidRDefault="00455F59" w:rsidP="004F7273">
            <w:pPr>
              <w:spacing w:after="0" w:line="240" w:lineRule="auto"/>
              <w:jc w:val="center"/>
              <w:rPr>
                <w:rFonts w:eastAsia="Times New Roman" w:cs="Arial"/>
                <w:color w:val="000000"/>
                <w:szCs w:val="20"/>
                <w:lang w:val="es-MX" w:eastAsia="es-MX"/>
              </w:rPr>
            </w:pPr>
            <w:r w:rsidRPr="007910AB">
              <w:rPr>
                <w:rFonts w:eastAsia="Times New Roman" w:cs="Arial"/>
                <w:color w:val="000000"/>
                <w:szCs w:val="20"/>
                <w:lang w:val="es-MX" w:eastAsia="es-MX"/>
              </w:rPr>
              <w:t>Fin</w:t>
            </w:r>
          </w:p>
        </w:tc>
      </w:tr>
      <w:tr w:rsidR="00455F59" w:rsidRPr="007910AB" w:rsidTr="00455F59">
        <w:trPr>
          <w:trHeight w:val="1571"/>
        </w:trPr>
        <w:tc>
          <w:tcPr>
            <w:tcW w:w="198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Subcomponente 1 Estructura administrativa y Direccionamiento estratégico</w:t>
            </w:r>
          </w:p>
        </w:tc>
        <w:tc>
          <w:tcPr>
            <w:tcW w:w="446"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1.1</w:t>
            </w:r>
          </w:p>
        </w:tc>
        <w:tc>
          <w:tcPr>
            <w:tcW w:w="2084" w:type="dxa"/>
            <w:shd w:val="clear" w:color="auto" w:fill="auto"/>
            <w:vAlign w:val="center"/>
            <w:hideMark/>
          </w:tcPr>
          <w:p w:rsidR="00455F59" w:rsidRPr="007910AB" w:rsidRDefault="00455F59" w:rsidP="004F7273">
            <w:pPr>
              <w:spacing w:after="0" w:line="240" w:lineRule="auto"/>
              <w:ind w:left="-263" w:firstLine="263"/>
              <w:rPr>
                <w:rFonts w:eastAsia="Times New Roman" w:cs="Arial"/>
                <w:color w:val="000000"/>
                <w:sz w:val="20"/>
                <w:szCs w:val="20"/>
                <w:lang w:val="es-MX" w:eastAsia="es-MX"/>
              </w:rPr>
            </w:pPr>
            <w:r w:rsidRPr="007910AB">
              <w:rPr>
                <w:rFonts w:eastAsia="Times New Roman" w:cs="Arial"/>
                <w:color w:val="000000"/>
                <w:sz w:val="20"/>
                <w:szCs w:val="20"/>
                <w:lang w:val="es-MX" w:eastAsia="es-MX"/>
              </w:rPr>
              <w:t>Arreglo Institucional</w:t>
            </w:r>
          </w:p>
        </w:tc>
        <w:tc>
          <w:tcPr>
            <w:tcW w:w="2464"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Participar en las actividades de la Red Institucional de apoyo a veedurías ciudadanas  RIAV a las cuales sea invitada la AGR.</w:t>
            </w:r>
          </w:p>
        </w:tc>
        <w:tc>
          <w:tcPr>
            <w:tcW w:w="246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Recursos de funcionamiento (asesora grado 02 asignada a la Auditoría Delegada).</w:t>
            </w:r>
          </w:p>
        </w:tc>
        <w:tc>
          <w:tcPr>
            <w:tcW w:w="154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 xml:space="preserve">Auditoria Delegada </w:t>
            </w:r>
          </w:p>
        </w:tc>
        <w:tc>
          <w:tcPr>
            <w:tcW w:w="1243"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01/03/2019</w:t>
            </w:r>
          </w:p>
        </w:tc>
        <w:tc>
          <w:tcPr>
            <w:tcW w:w="143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31/12/2019</w:t>
            </w:r>
          </w:p>
        </w:tc>
      </w:tr>
      <w:tr w:rsidR="00455F59" w:rsidRPr="007910AB" w:rsidTr="00455F59">
        <w:trPr>
          <w:trHeight w:val="1537"/>
        </w:trPr>
        <w:tc>
          <w:tcPr>
            <w:tcW w:w="198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Subcomponente 2 Fortalecimiento de los canales de atención</w:t>
            </w:r>
          </w:p>
        </w:tc>
        <w:tc>
          <w:tcPr>
            <w:tcW w:w="446"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2.1</w:t>
            </w:r>
          </w:p>
        </w:tc>
        <w:tc>
          <w:tcPr>
            <w:tcW w:w="2084" w:type="dxa"/>
            <w:shd w:val="clear" w:color="auto" w:fill="auto"/>
            <w:vAlign w:val="center"/>
            <w:hideMark/>
          </w:tcPr>
          <w:p w:rsidR="00455F59" w:rsidRPr="007910AB" w:rsidRDefault="00455F59" w:rsidP="004F7273">
            <w:pPr>
              <w:spacing w:after="0" w:line="240" w:lineRule="auto"/>
              <w:rPr>
                <w:rFonts w:eastAsia="Times New Roman" w:cs="Arial"/>
                <w:color w:val="000000"/>
                <w:sz w:val="20"/>
                <w:szCs w:val="20"/>
                <w:lang w:val="es-MX" w:eastAsia="es-MX"/>
              </w:rPr>
            </w:pPr>
            <w:r w:rsidRPr="007910AB">
              <w:rPr>
                <w:rFonts w:eastAsia="Times New Roman" w:cs="Arial"/>
                <w:color w:val="000000"/>
                <w:sz w:val="20"/>
                <w:szCs w:val="20"/>
                <w:lang w:val="es-MX" w:eastAsia="es-MX"/>
              </w:rPr>
              <w:t>Implementación de los protocolos de atención en cada uno de los canales de atención</w:t>
            </w:r>
          </w:p>
        </w:tc>
        <w:tc>
          <w:tcPr>
            <w:tcW w:w="2464"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Protocolo de atención</w:t>
            </w:r>
          </w:p>
        </w:tc>
        <w:tc>
          <w:tcPr>
            <w:tcW w:w="246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Recursos de funcionamiento (profesional especializado grado 04 de la Auditoría Delegada)</w:t>
            </w:r>
          </w:p>
        </w:tc>
        <w:tc>
          <w:tcPr>
            <w:tcW w:w="154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Auditoría Delegada</w:t>
            </w:r>
          </w:p>
        </w:tc>
        <w:tc>
          <w:tcPr>
            <w:tcW w:w="1243"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02/05/2019</w:t>
            </w:r>
          </w:p>
        </w:tc>
        <w:tc>
          <w:tcPr>
            <w:tcW w:w="143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28/06/2019</w:t>
            </w:r>
          </w:p>
        </w:tc>
      </w:tr>
      <w:tr w:rsidR="00455F59" w:rsidRPr="007910AB" w:rsidTr="004F7273">
        <w:trPr>
          <w:trHeight w:val="1767"/>
        </w:trPr>
        <w:tc>
          <w:tcPr>
            <w:tcW w:w="198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 xml:space="preserve">Subcomponente 3 </w:t>
            </w:r>
            <w:r w:rsidRPr="007910AB">
              <w:rPr>
                <w:rFonts w:eastAsia="Times New Roman" w:cs="Arial"/>
                <w:color w:val="000000"/>
                <w:sz w:val="20"/>
                <w:szCs w:val="20"/>
                <w:lang w:val="es-MX" w:eastAsia="es-MX"/>
              </w:rPr>
              <w:br/>
              <w:t>Talento Humano</w:t>
            </w:r>
          </w:p>
        </w:tc>
        <w:tc>
          <w:tcPr>
            <w:tcW w:w="446"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3.1</w:t>
            </w:r>
          </w:p>
        </w:tc>
        <w:tc>
          <w:tcPr>
            <w:tcW w:w="2084" w:type="dxa"/>
            <w:shd w:val="clear" w:color="auto" w:fill="auto"/>
            <w:vAlign w:val="center"/>
            <w:hideMark/>
          </w:tcPr>
          <w:p w:rsidR="00455F59" w:rsidRPr="007910AB" w:rsidRDefault="00455F59" w:rsidP="004F7273">
            <w:pPr>
              <w:spacing w:after="0" w:line="240" w:lineRule="auto"/>
              <w:rPr>
                <w:rFonts w:eastAsia="Times New Roman" w:cs="Arial"/>
                <w:color w:val="000000"/>
                <w:sz w:val="20"/>
                <w:szCs w:val="20"/>
                <w:lang w:val="es-MX" w:eastAsia="es-MX"/>
              </w:rPr>
            </w:pPr>
            <w:r w:rsidRPr="007910AB">
              <w:rPr>
                <w:rFonts w:eastAsia="Times New Roman" w:cs="Arial"/>
                <w:color w:val="000000"/>
                <w:sz w:val="20"/>
                <w:szCs w:val="20"/>
                <w:lang w:val="es-MX" w:eastAsia="es-MX"/>
              </w:rPr>
              <w:t>Fortalecimiento de Competencias</w:t>
            </w:r>
          </w:p>
        </w:tc>
        <w:tc>
          <w:tcPr>
            <w:tcW w:w="2464"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Capacitación Anual</w:t>
            </w:r>
          </w:p>
        </w:tc>
        <w:tc>
          <w:tcPr>
            <w:tcW w:w="246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Recursos de funcionamiento (profesional especializado grado 04 de la Auditoría Delegada)</w:t>
            </w:r>
          </w:p>
        </w:tc>
        <w:tc>
          <w:tcPr>
            <w:tcW w:w="154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Auditoría Delegada</w:t>
            </w:r>
          </w:p>
        </w:tc>
        <w:tc>
          <w:tcPr>
            <w:tcW w:w="1243"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04/06/2019</w:t>
            </w:r>
          </w:p>
        </w:tc>
        <w:tc>
          <w:tcPr>
            <w:tcW w:w="143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31/12/2019</w:t>
            </w:r>
          </w:p>
        </w:tc>
      </w:tr>
      <w:tr w:rsidR="00455F59" w:rsidRPr="007910AB" w:rsidTr="004F7273">
        <w:trPr>
          <w:trHeight w:val="1265"/>
        </w:trPr>
        <w:tc>
          <w:tcPr>
            <w:tcW w:w="198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Subcomponente 4 Normativo y procedimental</w:t>
            </w:r>
          </w:p>
        </w:tc>
        <w:tc>
          <w:tcPr>
            <w:tcW w:w="446"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4.1</w:t>
            </w:r>
          </w:p>
        </w:tc>
        <w:tc>
          <w:tcPr>
            <w:tcW w:w="2084" w:type="dxa"/>
            <w:shd w:val="clear" w:color="auto" w:fill="auto"/>
            <w:vAlign w:val="center"/>
            <w:hideMark/>
          </w:tcPr>
          <w:p w:rsidR="00455F59" w:rsidRPr="007910AB" w:rsidRDefault="00455F59" w:rsidP="004F7273">
            <w:pPr>
              <w:spacing w:after="0" w:line="240" w:lineRule="auto"/>
              <w:rPr>
                <w:rFonts w:eastAsia="Times New Roman" w:cs="Arial"/>
                <w:color w:val="000000"/>
                <w:sz w:val="20"/>
                <w:szCs w:val="20"/>
                <w:lang w:val="es-MX" w:eastAsia="es-MX"/>
              </w:rPr>
            </w:pPr>
            <w:r w:rsidRPr="007910AB">
              <w:rPr>
                <w:rFonts w:eastAsia="Times New Roman" w:cs="Arial"/>
                <w:color w:val="000000"/>
                <w:sz w:val="20"/>
                <w:szCs w:val="20"/>
                <w:lang w:val="es-MX" w:eastAsia="es-MX"/>
              </w:rPr>
              <w:t xml:space="preserve">Actualización Resolución y procedimientos internos </w:t>
            </w:r>
          </w:p>
        </w:tc>
        <w:tc>
          <w:tcPr>
            <w:tcW w:w="2464"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Resolución y Procedimientos actualizados</w:t>
            </w:r>
          </w:p>
        </w:tc>
        <w:tc>
          <w:tcPr>
            <w:tcW w:w="246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Recursos de funcionamiento (profesional especializado grado 04 de la Auditoría Delegada)</w:t>
            </w:r>
          </w:p>
        </w:tc>
        <w:tc>
          <w:tcPr>
            <w:tcW w:w="154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Auditoría Delegada</w:t>
            </w:r>
          </w:p>
        </w:tc>
        <w:tc>
          <w:tcPr>
            <w:tcW w:w="1243"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02/05/2019</w:t>
            </w:r>
          </w:p>
        </w:tc>
        <w:tc>
          <w:tcPr>
            <w:tcW w:w="143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28/06/2019</w:t>
            </w:r>
          </w:p>
        </w:tc>
      </w:tr>
      <w:tr w:rsidR="00455F59" w:rsidRPr="007910AB" w:rsidTr="004F7273">
        <w:trPr>
          <w:trHeight w:val="1271"/>
        </w:trPr>
        <w:tc>
          <w:tcPr>
            <w:tcW w:w="1989" w:type="dxa"/>
            <w:vMerge w:val="restart"/>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lastRenderedPageBreak/>
              <w:t>Subcomponente 5 Relacionamiento con el ciudadano</w:t>
            </w:r>
          </w:p>
        </w:tc>
        <w:tc>
          <w:tcPr>
            <w:tcW w:w="446"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5.1</w:t>
            </w:r>
          </w:p>
        </w:tc>
        <w:tc>
          <w:tcPr>
            <w:tcW w:w="2084" w:type="dxa"/>
            <w:shd w:val="clear" w:color="auto" w:fill="auto"/>
            <w:vAlign w:val="center"/>
            <w:hideMark/>
          </w:tcPr>
          <w:p w:rsidR="00455F59" w:rsidRPr="007910AB" w:rsidRDefault="00455F59" w:rsidP="004F7273">
            <w:pPr>
              <w:spacing w:after="0" w:line="240" w:lineRule="auto"/>
              <w:rPr>
                <w:rFonts w:eastAsia="Times New Roman" w:cs="Arial"/>
                <w:color w:val="000000"/>
                <w:sz w:val="20"/>
                <w:szCs w:val="20"/>
                <w:lang w:val="es-MX" w:eastAsia="es-MX"/>
              </w:rPr>
            </w:pPr>
            <w:r w:rsidRPr="007910AB">
              <w:rPr>
                <w:rFonts w:eastAsia="Times New Roman" w:cs="Arial"/>
                <w:color w:val="000000"/>
                <w:sz w:val="20"/>
                <w:szCs w:val="20"/>
                <w:lang w:val="es-MX" w:eastAsia="es-MX"/>
              </w:rPr>
              <w:t>Evaluar la percepción de la ciudadanía.</w:t>
            </w:r>
          </w:p>
        </w:tc>
        <w:tc>
          <w:tcPr>
            <w:tcW w:w="2464"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Informe de percepción</w:t>
            </w:r>
          </w:p>
        </w:tc>
        <w:tc>
          <w:tcPr>
            <w:tcW w:w="246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Recursos de funcionamiento (profesional especializado grado 04 de la Auditoría Delegada)</w:t>
            </w:r>
          </w:p>
        </w:tc>
        <w:tc>
          <w:tcPr>
            <w:tcW w:w="154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Auditoría Delegada</w:t>
            </w:r>
          </w:p>
        </w:tc>
        <w:tc>
          <w:tcPr>
            <w:tcW w:w="1243"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02/07/2019</w:t>
            </w:r>
            <w:r w:rsidRPr="007910AB">
              <w:rPr>
                <w:rFonts w:eastAsia="Times New Roman" w:cs="Arial"/>
                <w:color w:val="000000"/>
                <w:sz w:val="20"/>
                <w:szCs w:val="20"/>
                <w:lang w:val="es-MX" w:eastAsia="es-MX"/>
              </w:rPr>
              <w:br/>
              <w:t>02/01/2020</w:t>
            </w:r>
          </w:p>
        </w:tc>
        <w:tc>
          <w:tcPr>
            <w:tcW w:w="143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30 de julio de 2019</w:t>
            </w:r>
            <w:r w:rsidRPr="007910AB">
              <w:rPr>
                <w:rFonts w:eastAsia="Times New Roman" w:cs="Arial"/>
                <w:color w:val="000000"/>
                <w:sz w:val="20"/>
                <w:szCs w:val="20"/>
                <w:lang w:val="es-MX" w:eastAsia="es-MX"/>
              </w:rPr>
              <w:br/>
              <w:t>31 enero de 2020</w:t>
            </w:r>
            <w:r w:rsidRPr="007910AB">
              <w:rPr>
                <w:rFonts w:eastAsia="Times New Roman" w:cs="Arial"/>
                <w:color w:val="000000"/>
                <w:sz w:val="20"/>
                <w:szCs w:val="20"/>
                <w:lang w:val="es-MX" w:eastAsia="es-MX"/>
              </w:rPr>
              <w:br/>
              <w:t>semestral</w:t>
            </w:r>
          </w:p>
        </w:tc>
      </w:tr>
      <w:tr w:rsidR="00455F59" w:rsidRPr="007910AB" w:rsidTr="004F7273">
        <w:trPr>
          <w:trHeight w:val="1700"/>
        </w:trPr>
        <w:tc>
          <w:tcPr>
            <w:tcW w:w="1989" w:type="dxa"/>
            <w:vMerge/>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p>
        </w:tc>
        <w:tc>
          <w:tcPr>
            <w:tcW w:w="446"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5.2</w:t>
            </w:r>
          </w:p>
        </w:tc>
        <w:tc>
          <w:tcPr>
            <w:tcW w:w="2084" w:type="dxa"/>
            <w:shd w:val="clear" w:color="auto" w:fill="auto"/>
            <w:vAlign w:val="center"/>
            <w:hideMark/>
          </w:tcPr>
          <w:p w:rsidR="00455F59" w:rsidRPr="007910AB" w:rsidRDefault="00455F59" w:rsidP="004F7273">
            <w:pPr>
              <w:spacing w:after="0" w:line="240" w:lineRule="auto"/>
              <w:rPr>
                <w:rFonts w:eastAsia="Times New Roman" w:cs="Arial"/>
                <w:color w:val="000000"/>
                <w:sz w:val="20"/>
                <w:szCs w:val="20"/>
                <w:lang w:val="es-MX" w:eastAsia="es-MX"/>
              </w:rPr>
            </w:pPr>
            <w:r w:rsidRPr="007910AB">
              <w:rPr>
                <w:rFonts w:eastAsia="Times New Roman" w:cs="Arial"/>
                <w:color w:val="000000"/>
                <w:sz w:val="20"/>
                <w:szCs w:val="20"/>
                <w:lang w:val="es-MX" w:eastAsia="es-MX"/>
              </w:rPr>
              <w:t xml:space="preserve">Involucrar a las universidades, institutos y centros académicos en el desarrollo de propuestas para fortalecer el control social </w:t>
            </w:r>
          </w:p>
        </w:tc>
        <w:tc>
          <w:tcPr>
            <w:tcW w:w="2464"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Suscribir o actualizar un convenio con una universidad, centro académico o instituto por gerencia seccional</w:t>
            </w:r>
          </w:p>
        </w:tc>
        <w:tc>
          <w:tcPr>
            <w:tcW w:w="246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Recursos de funcionamiento  (gerentes seccionales y con la orientación y revisión de la Oficina Jurídica)</w:t>
            </w:r>
          </w:p>
        </w:tc>
        <w:tc>
          <w:tcPr>
            <w:tcW w:w="1541"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Auditoria Delegada</w:t>
            </w:r>
          </w:p>
        </w:tc>
        <w:tc>
          <w:tcPr>
            <w:tcW w:w="1243"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01/04/2019</w:t>
            </w:r>
          </w:p>
        </w:tc>
        <w:tc>
          <w:tcPr>
            <w:tcW w:w="1439" w:type="dxa"/>
            <w:shd w:val="clear" w:color="auto" w:fill="auto"/>
            <w:vAlign w:val="center"/>
            <w:hideMark/>
          </w:tcPr>
          <w:p w:rsidR="00455F59" w:rsidRPr="007910AB" w:rsidRDefault="00455F59" w:rsidP="004F7273">
            <w:pPr>
              <w:spacing w:after="0" w:line="240" w:lineRule="auto"/>
              <w:jc w:val="center"/>
              <w:rPr>
                <w:rFonts w:eastAsia="Times New Roman" w:cs="Arial"/>
                <w:color w:val="000000"/>
                <w:sz w:val="20"/>
                <w:szCs w:val="20"/>
                <w:lang w:val="es-MX" w:eastAsia="es-MX"/>
              </w:rPr>
            </w:pPr>
            <w:r w:rsidRPr="007910AB">
              <w:rPr>
                <w:rFonts w:eastAsia="Times New Roman" w:cs="Arial"/>
                <w:color w:val="000000"/>
                <w:sz w:val="20"/>
                <w:szCs w:val="20"/>
                <w:lang w:val="es-MX" w:eastAsia="es-MX"/>
              </w:rPr>
              <w:t>31/12/2019</w:t>
            </w:r>
          </w:p>
        </w:tc>
      </w:tr>
    </w:tbl>
    <w:p w:rsidR="00455F59" w:rsidRDefault="00455F59" w:rsidP="00455F59">
      <w:pPr>
        <w:autoSpaceDE w:val="0"/>
        <w:autoSpaceDN w:val="0"/>
        <w:adjustRightInd w:val="0"/>
        <w:spacing w:after="0" w:line="240" w:lineRule="auto"/>
        <w:jc w:val="center"/>
        <w:rPr>
          <w:rFonts w:cs="Arial"/>
          <w:b/>
          <w:color w:val="4F81BD" w:themeColor="accent1"/>
          <w:szCs w:val="24"/>
        </w:rPr>
      </w:pPr>
    </w:p>
    <w:p w:rsidR="00455F59" w:rsidRDefault="00455F59" w:rsidP="00D06018">
      <w:pPr>
        <w:rPr>
          <w:rFonts w:cs="Arial"/>
          <w:szCs w:val="24"/>
        </w:rPr>
      </w:pPr>
    </w:p>
    <w:p w:rsidR="00455F59" w:rsidRDefault="00455F59" w:rsidP="00D06018">
      <w:pPr>
        <w:rPr>
          <w:rFonts w:cs="Arial"/>
          <w:szCs w:val="24"/>
        </w:rPr>
        <w:sectPr w:rsidR="00455F59" w:rsidSect="00455F59">
          <w:pgSz w:w="15840" w:h="12240" w:orient="landscape" w:code="131"/>
          <w:pgMar w:top="1701" w:right="1418" w:bottom="1701" w:left="1418" w:header="709" w:footer="709" w:gutter="0"/>
          <w:cols w:space="708"/>
          <w:docGrid w:linePitch="360"/>
        </w:sectPr>
      </w:pPr>
    </w:p>
    <w:p w:rsidR="00D06018" w:rsidRPr="00D06018" w:rsidRDefault="00D06018" w:rsidP="00D06018">
      <w:pPr>
        <w:rPr>
          <w:rFonts w:cs="Arial"/>
          <w:szCs w:val="24"/>
        </w:rPr>
      </w:pPr>
    </w:p>
    <w:p w:rsidR="006C0140" w:rsidRPr="009F6293" w:rsidRDefault="006C0140" w:rsidP="006C0140">
      <w:pPr>
        <w:pStyle w:val="Prrafodelista"/>
        <w:spacing w:after="0" w:line="240" w:lineRule="auto"/>
        <w:ind w:left="284"/>
        <w:contextualSpacing w:val="0"/>
        <w:jc w:val="both"/>
        <w:rPr>
          <w:rFonts w:cs="Arial"/>
          <w:szCs w:val="24"/>
        </w:rPr>
      </w:pPr>
    </w:p>
    <w:p w:rsidR="006C0140" w:rsidRPr="007074C0" w:rsidRDefault="006C0140" w:rsidP="006C0140">
      <w:pPr>
        <w:spacing w:after="0" w:line="240" w:lineRule="auto"/>
        <w:jc w:val="both"/>
        <w:rPr>
          <w:rFonts w:cs="Arial"/>
          <w:szCs w:val="24"/>
        </w:rPr>
      </w:pPr>
    </w:p>
    <w:p w:rsidR="006C0140" w:rsidRDefault="006C0140" w:rsidP="006C0140">
      <w:pPr>
        <w:spacing w:after="0" w:line="240" w:lineRule="auto"/>
        <w:jc w:val="both"/>
        <w:rPr>
          <w:rFonts w:cs="Arial"/>
          <w:szCs w:val="24"/>
        </w:rPr>
      </w:pPr>
    </w:p>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F545D4" w:rsidRDefault="00F545D4"/>
    <w:p w:rsidR="00CD5719" w:rsidRDefault="00CD5719" w:rsidP="00CD5719">
      <w:pPr>
        <w:autoSpaceDE w:val="0"/>
        <w:autoSpaceDN w:val="0"/>
        <w:adjustRightInd w:val="0"/>
        <w:spacing w:after="0" w:line="240" w:lineRule="auto"/>
        <w:jc w:val="both"/>
        <w:rPr>
          <w:rFonts w:cs="Arial"/>
          <w:i/>
          <w:szCs w:val="24"/>
        </w:rPr>
      </w:pPr>
    </w:p>
    <w:p w:rsidR="00CD5719" w:rsidRDefault="00CD5719" w:rsidP="00CD5719">
      <w:pPr>
        <w:autoSpaceDE w:val="0"/>
        <w:autoSpaceDN w:val="0"/>
        <w:adjustRightInd w:val="0"/>
        <w:spacing w:after="0" w:line="240" w:lineRule="auto"/>
        <w:jc w:val="both"/>
        <w:rPr>
          <w:rFonts w:cs="Arial"/>
          <w:color w:val="4F81BD" w:themeColor="accent1"/>
          <w:szCs w:val="24"/>
        </w:rPr>
      </w:pPr>
    </w:p>
    <w:p w:rsidR="00F545D4" w:rsidRDefault="00F545D4"/>
    <w:p w:rsidR="00F545D4" w:rsidRDefault="00F545D4"/>
    <w:p w:rsidR="00F545D4" w:rsidRDefault="00F545D4"/>
    <w:sectPr w:rsidR="00F545D4" w:rsidSect="00F545D4">
      <w:pgSz w:w="12240" w:h="15840" w:code="13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B3" w:rsidRDefault="00763DB3" w:rsidP="00F545D4">
      <w:pPr>
        <w:spacing w:after="0" w:line="240" w:lineRule="auto"/>
      </w:pPr>
      <w:r>
        <w:separator/>
      </w:r>
    </w:p>
  </w:endnote>
  <w:endnote w:type="continuationSeparator" w:id="0">
    <w:p w:rsidR="00763DB3" w:rsidRDefault="00763DB3" w:rsidP="00F5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B3" w:rsidRDefault="00763DB3" w:rsidP="00F545D4">
      <w:pPr>
        <w:spacing w:after="0" w:line="240" w:lineRule="auto"/>
      </w:pPr>
      <w:r>
        <w:separator/>
      </w:r>
    </w:p>
  </w:footnote>
  <w:footnote w:type="continuationSeparator" w:id="0">
    <w:p w:rsidR="00763DB3" w:rsidRDefault="00763DB3" w:rsidP="00F5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763DB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5" o:spid="_x0000_s2050" type="#_x0000_t75" style="position:absolute;margin-left:0;margin-top:0;width:612pt;height:11in;z-index:-251657216;mso-position-horizontal:center;mso-position-horizontal-relative:margin;mso-position-vertical:center;mso-position-vertical-relative:margin" o:allowincell="f">
          <v:imagedata r:id="rId1" o:title="AGRev-PAAC2019-FondoCuerp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763DB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6" o:spid="_x0000_s2051" type="#_x0000_t75" style="position:absolute;margin-left:0;margin-top:0;width:612pt;height:11in;z-index:-251656192;mso-position-horizontal:center;mso-position-horizontal-relative:margin;mso-position-vertical:center;mso-position-vertical-relative:margin" o:allowincell="f">
          <v:imagedata r:id="rId1" o:title="AGRev-PAAC2019-FondoCuerp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763DB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4" o:spid="_x0000_s2049" type="#_x0000_t75" style="position:absolute;margin-left:0;margin-top:0;width:612pt;height:11in;z-index:-251658240;mso-position-horizontal:center;mso-position-horizontal-relative:margin;mso-position-vertical:center;mso-position-vertical-relative:margin" o:allowincell="f">
          <v:imagedata r:id="rId1" o:title="AGRev-PAAC2019-FondoCuerp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6.7pt;height:16.7pt" o:bullet="t">
        <v:imagedata r:id="rId1" o:title="auditoria daniel"/>
      </v:shape>
    </w:pict>
  </w:numPicBullet>
  <w:abstractNum w:abstractNumId="0" w15:restartNumberingAfterBreak="0">
    <w:nsid w:val="44A07077"/>
    <w:multiLevelType w:val="hybridMultilevel"/>
    <w:tmpl w:val="17B4B8F0"/>
    <w:lvl w:ilvl="0" w:tplc="D90C3D1C">
      <w:start w:val="1"/>
      <w:numFmt w:val="bullet"/>
      <w:lvlText w:val=""/>
      <w:lvlPicBulletId w:val="0"/>
      <w:lvlJc w:val="left"/>
      <w:pPr>
        <w:ind w:left="502" w:hanging="360"/>
      </w:pPr>
      <w:rPr>
        <w:rFonts w:ascii="Symbol" w:hAnsi="Symbo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15:restartNumberingAfterBreak="0">
    <w:nsid w:val="6FB30792"/>
    <w:multiLevelType w:val="hybridMultilevel"/>
    <w:tmpl w:val="0EB0B19A"/>
    <w:lvl w:ilvl="0" w:tplc="D90C3D1C">
      <w:start w:val="1"/>
      <w:numFmt w:val="bullet"/>
      <w:lvlText w:val=""/>
      <w:lvlPicBulletId w:val="0"/>
      <w:lvlJc w:val="left"/>
      <w:pPr>
        <w:ind w:left="786"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4"/>
    <w:rsid w:val="002709EA"/>
    <w:rsid w:val="00282EBE"/>
    <w:rsid w:val="00455F59"/>
    <w:rsid w:val="00567E32"/>
    <w:rsid w:val="006C0140"/>
    <w:rsid w:val="006C58DA"/>
    <w:rsid w:val="00763DB3"/>
    <w:rsid w:val="009C3C52"/>
    <w:rsid w:val="00B33E50"/>
    <w:rsid w:val="00B8134E"/>
    <w:rsid w:val="00BD471F"/>
    <w:rsid w:val="00CD5719"/>
    <w:rsid w:val="00CF7E8D"/>
    <w:rsid w:val="00D06018"/>
    <w:rsid w:val="00DB2C6B"/>
    <w:rsid w:val="00EF1354"/>
    <w:rsid w:val="00F101D5"/>
    <w:rsid w:val="00F545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D31B2F-95D1-4395-83FF-3D9D54E4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C0140"/>
    <w:pPr>
      <w:keepNext/>
      <w:keepLines/>
      <w:spacing w:before="480" w:after="0"/>
      <w:outlineLvl w:val="0"/>
    </w:pPr>
    <w:rPr>
      <w:rFonts w:ascii="Arial" w:eastAsiaTheme="majorEastAsia" w:hAnsi="Arial"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5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5D4"/>
  </w:style>
  <w:style w:type="paragraph" w:styleId="Piedepgina">
    <w:name w:val="footer"/>
    <w:basedOn w:val="Normal"/>
    <w:link w:val="PiedepginaCar"/>
    <w:uiPriority w:val="99"/>
    <w:unhideWhenUsed/>
    <w:rsid w:val="00F545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5D4"/>
  </w:style>
  <w:style w:type="character" w:customStyle="1" w:styleId="Ttulo1Car">
    <w:name w:val="Título 1 Car"/>
    <w:basedOn w:val="Fuentedeprrafopredeter"/>
    <w:link w:val="Ttulo1"/>
    <w:uiPriority w:val="9"/>
    <w:rsid w:val="006C0140"/>
    <w:rPr>
      <w:rFonts w:ascii="Arial" w:eastAsiaTheme="majorEastAsia" w:hAnsi="Arial" w:cstheme="majorBidi"/>
      <w:b/>
      <w:bCs/>
      <w:sz w:val="28"/>
      <w:szCs w:val="28"/>
    </w:rPr>
  </w:style>
  <w:style w:type="paragraph" w:styleId="Prrafodelista">
    <w:name w:val="List Paragraph"/>
    <w:basedOn w:val="Normal"/>
    <w:uiPriority w:val="34"/>
    <w:qFormat/>
    <w:rsid w:val="006C0140"/>
    <w:pPr>
      <w:ind w:left="720"/>
      <w:contextualSpacing/>
    </w:pPr>
    <w:rPr>
      <w:rFonts w:ascii="Arial" w:hAnsi="Arial"/>
      <w:sz w:val="24"/>
    </w:rPr>
  </w:style>
  <w:style w:type="paragraph" w:styleId="Sinespaciado">
    <w:name w:val="No Spacing"/>
    <w:uiPriority w:val="1"/>
    <w:qFormat/>
    <w:rsid w:val="006C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93C94AEC757046871B08D7C4D9754E" ma:contentTypeVersion="1" ma:contentTypeDescription="Crear nuevo documento." ma:contentTypeScope="" ma:versionID="d0d28ebc6a00d52b433cfd7e0425a7e0">
  <xsd:schema xmlns:xsd="http://www.w3.org/2001/XMLSchema" xmlns:xs="http://www.w3.org/2001/XMLSchema" xmlns:p="http://schemas.microsoft.com/office/2006/metadata/properties" xmlns:ns2="cddb4735-0515-4250-8fee-f787ed4a2be0" targetNamespace="http://schemas.microsoft.com/office/2006/metadata/properties" ma:root="true" ma:fieldsID="1b188628f7f96ec8a3071e3600446770" ns2:_="">
    <xsd:import namespace="cddb4735-0515-4250-8fee-f787ed4a2b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b4735-0515-4250-8fee-f787ed4a2be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ddb4735-0515-4250-8fee-f787ed4a2be0">WPTX3CFAHZYA-7-1986</_dlc_DocId>
    <_dlc_DocIdUrl xmlns="cddb4735-0515-4250-8fee-f787ed4a2be0">
      <Url>http://www.auditoria.gov.co/_layouts/15/DocIdRedir.aspx?ID=WPTX3CFAHZYA-7-1986</Url>
      <Description>WPTX3CFAHZYA-7-1986</Description>
    </_dlc_DocIdUrl>
  </documentManagement>
</p:properties>
</file>

<file path=customXml/itemProps1.xml><?xml version="1.0" encoding="utf-8"?>
<ds:datastoreItem xmlns:ds="http://schemas.openxmlformats.org/officeDocument/2006/customXml" ds:itemID="{CCE5A05A-FAF9-42C7-B8E6-6E0DBB61D2CE}"/>
</file>

<file path=customXml/itemProps2.xml><?xml version="1.0" encoding="utf-8"?>
<ds:datastoreItem xmlns:ds="http://schemas.openxmlformats.org/officeDocument/2006/customXml" ds:itemID="{180A7B94-A799-4391-AF8B-C5CBFF512752}"/>
</file>

<file path=customXml/itemProps3.xml><?xml version="1.0" encoding="utf-8"?>
<ds:datastoreItem xmlns:ds="http://schemas.openxmlformats.org/officeDocument/2006/customXml" ds:itemID="{4F6B6229-C15A-47C1-ABED-4EA5E2D0D229}"/>
</file>

<file path=customXml/itemProps4.xml><?xml version="1.0" encoding="utf-8"?>
<ds:datastoreItem xmlns:ds="http://schemas.openxmlformats.org/officeDocument/2006/customXml" ds:itemID="{39705CA8-218E-4B81-85D1-270449B59F39}"/>
</file>

<file path=customXml/itemProps5.xml><?xml version="1.0" encoding="utf-8"?>
<ds:datastoreItem xmlns:ds="http://schemas.openxmlformats.org/officeDocument/2006/customXml" ds:itemID="{4DCE200C-74B1-4602-8634-4B90455CF639}"/>
</file>

<file path=docProps/app.xml><?xml version="1.0" encoding="utf-8"?>
<Properties xmlns="http://schemas.openxmlformats.org/officeDocument/2006/extended-properties" xmlns:vt="http://schemas.openxmlformats.org/officeDocument/2006/docPropsVTypes">
  <Template>Normal</Template>
  <TotalTime>10</TotalTime>
  <Pages>6</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Jose Rolando Sarmiento Perez</cp:lastModifiedBy>
  <cp:revision>5</cp:revision>
  <dcterms:created xsi:type="dcterms:W3CDTF">2019-02-05T16:30:00Z</dcterms:created>
  <dcterms:modified xsi:type="dcterms:W3CDTF">2019-02-05T18:23:00Z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0x0101006793C94AEC757046871B08D7C4D9754E</vt:lpwstr>
  </property>
  <property fmtid="{D5CDD505-2E9C-101B-9397-08002B2CF9AE}" pid="3" name="_dlc_DocIdItemGuid">
    <vt:lpwstr>5dbf6545-e0c0-4814-b262-1753939c0201</vt:lpwstr>
  </property>
</Properties>
</file>