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6B" w:rsidRPr="00E542BB" w:rsidRDefault="009C3C52">
      <w:r w:rsidRPr="00E542BB">
        <w:rPr>
          <w:noProof/>
          <w:lang w:eastAsia="es-CO"/>
        </w:rPr>
        <w:drawing>
          <wp:anchor distT="0" distB="0" distL="114300" distR="114300" simplePos="0" relativeHeight="251657728" behindDoc="1" locked="0" layoutInCell="1" allowOverlap="1">
            <wp:simplePos x="0" y="0"/>
            <wp:positionH relativeFrom="column">
              <wp:posOffset>-1042670</wp:posOffset>
            </wp:positionH>
            <wp:positionV relativeFrom="paragraph">
              <wp:posOffset>-826363</wp:posOffset>
            </wp:positionV>
            <wp:extent cx="7651217" cy="9910916"/>
            <wp:effectExtent l="0" t="0" r="6985" b="0"/>
            <wp:wrapNone/>
            <wp:docPr id="2" name="Imagen 2" descr="AGR-PAAC2019-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PAAC2019-Port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1217" cy="9910916"/>
                    </a:xfrm>
                    <a:prstGeom prst="rect">
                      <a:avLst/>
                    </a:prstGeom>
                    <a:noFill/>
                  </pic:spPr>
                </pic:pic>
              </a:graphicData>
            </a:graphic>
            <wp14:sizeRelH relativeFrom="page">
              <wp14:pctWidth>0</wp14:pctWidth>
            </wp14:sizeRelH>
            <wp14:sizeRelV relativeFrom="page">
              <wp14:pctHeight>0</wp14:pctHeight>
            </wp14:sizeRelV>
          </wp:anchor>
        </w:drawing>
      </w:r>
    </w:p>
    <w:p w:rsidR="00F545D4" w:rsidRPr="00E542BB" w:rsidRDefault="00F545D4"/>
    <w:p w:rsidR="00F545D4" w:rsidRPr="00E542BB" w:rsidRDefault="00F545D4"/>
    <w:p w:rsidR="00F545D4" w:rsidRPr="00E542BB" w:rsidRDefault="00F545D4"/>
    <w:p w:rsidR="00F545D4" w:rsidRPr="00E542BB" w:rsidRDefault="00F545D4"/>
    <w:p w:rsidR="00F545D4" w:rsidRPr="00E542BB" w:rsidRDefault="00F545D4"/>
    <w:p w:rsidR="00F545D4" w:rsidRPr="00E542BB" w:rsidRDefault="00F545D4"/>
    <w:p w:rsidR="00F545D4" w:rsidRPr="00E542BB" w:rsidRDefault="00F545D4"/>
    <w:p w:rsidR="00F545D4" w:rsidRPr="00E542BB" w:rsidRDefault="00F545D4"/>
    <w:p w:rsidR="00F545D4" w:rsidRPr="00E542BB" w:rsidRDefault="00F545D4"/>
    <w:p w:rsidR="00F545D4" w:rsidRPr="00E542BB" w:rsidRDefault="00F545D4"/>
    <w:p w:rsidR="00F545D4" w:rsidRPr="00E542BB" w:rsidRDefault="00F545D4"/>
    <w:p w:rsidR="00F545D4" w:rsidRPr="00E542BB" w:rsidRDefault="00F545D4"/>
    <w:p w:rsidR="00F545D4" w:rsidRPr="00E542BB" w:rsidRDefault="00F545D4"/>
    <w:p w:rsidR="00F545D4" w:rsidRPr="00E542BB" w:rsidRDefault="00F545D4"/>
    <w:p w:rsidR="00F545D4" w:rsidRPr="00E542BB" w:rsidRDefault="006C58DA">
      <w:r w:rsidRPr="00E542BB">
        <w:rPr>
          <w:noProof/>
        </w:rPr>
        <mc:AlternateContent>
          <mc:Choice Requires="wps">
            <w:drawing>
              <wp:anchor distT="45720" distB="45720" distL="114300" distR="114300" simplePos="0" relativeHeight="251659776" behindDoc="0" locked="0" layoutInCell="1" allowOverlap="1">
                <wp:simplePos x="0" y="0"/>
                <wp:positionH relativeFrom="column">
                  <wp:posOffset>514350</wp:posOffset>
                </wp:positionH>
                <wp:positionV relativeFrom="paragraph">
                  <wp:posOffset>214630</wp:posOffset>
                </wp:positionV>
                <wp:extent cx="4535170" cy="694690"/>
                <wp:effectExtent l="0" t="0" r="17780" b="1016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694690"/>
                        </a:xfrm>
                        <a:prstGeom prst="rect">
                          <a:avLst/>
                        </a:prstGeom>
                        <a:solidFill>
                          <a:srgbClr val="FFFFFF"/>
                        </a:solidFill>
                        <a:ln w="9525">
                          <a:solidFill>
                            <a:srgbClr val="000000"/>
                          </a:solidFill>
                          <a:miter lim="800000"/>
                          <a:headEnd/>
                          <a:tailEnd/>
                        </a:ln>
                      </wps:spPr>
                      <wps:txbx>
                        <w:txbxContent>
                          <w:p w:rsidR="006C58DA" w:rsidRDefault="006C0140" w:rsidP="00E542BB">
                            <w:pPr>
                              <w:spacing w:after="0" w:line="240" w:lineRule="auto"/>
                              <w:jc w:val="center"/>
                              <w:rPr>
                                <w:sz w:val="28"/>
                              </w:rPr>
                            </w:pPr>
                            <w:r>
                              <w:rPr>
                                <w:sz w:val="28"/>
                              </w:rPr>
                              <w:t xml:space="preserve">Componente </w:t>
                            </w:r>
                            <w:r w:rsidR="00E542BB">
                              <w:rPr>
                                <w:sz w:val="28"/>
                              </w:rPr>
                              <w:t>5</w:t>
                            </w:r>
                          </w:p>
                          <w:p w:rsidR="006C58DA" w:rsidRPr="006C58DA" w:rsidRDefault="00E542BB" w:rsidP="00E542BB">
                            <w:pPr>
                              <w:spacing w:after="0" w:line="240" w:lineRule="auto"/>
                              <w:jc w:val="center"/>
                              <w:rPr>
                                <w:sz w:val="28"/>
                              </w:rPr>
                            </w:pPr>
                            <w:r>
                              <w:rPr>
                                <w:sz w:val="28"/>
                              </w:rPr>
                              <w:t>Mecanismos para la transparencia  y acceso a la información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40.5pt;margin-top:16.9pt;width:357.1pt;height:54.7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">
                <v:textbox>
                  <w:txbxContent>
                    <w:p w:rsidR="006C58DA" w:rsidRDefault="006C0140" w:rsidP="00E542BB">
                      <w:pPr>
                        <w:spacing w:after="0" w:line="240" w:lineRule="auto"/>
                        <w:jc w:val="center"/>
                        <w:rPr>
                          <w:sz w:val="28"/>
                        </w:rPr>
                      </w:pPr>
                      <w:r>
                        <w:rPr>
                          <w:sz w:val="28"/>
                        </w:rPr>
                        <w:t xml:space="preserve">Componente </w:t>
                      </w:r>
                      <w:r w:rsidR="00E542BB">
                        <w:rPr>
                          <w:sz w:val="28"/>
                        </w:rPr>
                        <w:t>5</w:t>
                      </w:r>
                    </w:p>
                    <w:p w:rsidR="006C58DA" w:rsidRPr="006C58DA" w:rsidRDefault="00E542BB" w:rsidP="00E542BB">
                      <w:pPr>
                        <w:spacing w:after="0" w:line="240" w:lineRule="auto"/>
                        <w:jc w:val="center"/>
                        <w:rPr>
                          <w:sz w:val="28"/>
                        </w:rPr>
                      </w:pPr>
                      <w:r>
                        <w:rPr>
                          <w:sz w:val="28"/>
                        </w:rPr>
                        <w:t>Mecanismos para la transparencia  y acceso a la información</w:t>
                      </w:r>
                    </w:p>
                  </w:txbxContent>
                </v:textbox>
                <w10:wrap type="square"/>
              </v:shape>
            </w:pict>
          </mc:Fallback>
        </mc:AlternateContent>
      </w:r>
    </w:p>
    <w:p w:rsidR="00F545D4" w:rsidRPr="00E542BB" w:rsidRDefault="00F545D4"/>
    <w:p w:rsidR="00F545D4" w:rsidRPr="00E542BB" w:rsidRDefault="00F545D4"/>
    <w:p w:rsidR="00F545D4" w:rsidRPr="00E542BB" w:rsidRDefault="00F545D4"/>
    <w:p w:rsidR="00F545D4" w:rsidRPr="00E542BB" w:rsidRDefault="00F545D4"/>
    <w:p w:rsidR="00F545D4" w:rsidRPr="00E542BB" w:rsidRDefault="00F545D4"/>
    <w:p w:rsidR="00F545D4" w:rsidRPr="00E542BB" w:rsidRDefault="006C58DA">
      <w:r w:rsidRPr="00E542BB">
        <w:rPr>
          <w:noProof/>
        </w:rPr>
        <mc:AlternateContent>
          <mc:Choice Requires="wps">
            <w:drawing>
              <wp:anchor distT="45720" distB="45720" distL="114300" distR="114300" simplePos="0" relativeHeight="251661824" behindDoc="0" locked="0" layoutInCell="1" allowOverlap="1" wp14:anchorId="29512EE0" wp14:editId="2A800378">
                <wp:simplePos x="0" y="0"/>
                <wp:positionH relativeFrom="column">
                  <wp:posOffset>1940560</wp:posOffset>
                </wp:positionH>
                <wp:positionV relativeFrom="paragraph">
                  <wp:posOffset>60960</wp:posOffset>
                </wp:positionV>
                <wp:extent cx="1593850" cy="277495"/>
                <wp:effectExtent l="0" t="0" r="25400" b="2730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77495"/>
                        </a:xfrm>
                        <a:prstGeom prst="rect">
                          <a:avLst/>
                        </a:prstGeom>
                        <a:solidFill>
                          <a:srgbClr val="FFFFFF"/>
                        </a:solidFill>
                        <a:ln w="9525">
                          <a:solidFill>
                            <a:srgbClr val="000000"/>
                          </a:solidFill>
                          <a:miter lim="800000"/>
                          <a:headEnd/>
                          <a:tailEnd/>
                        </a:ln>
                      </wps:spPr>
                      <wps:txbx>
                        <w:txbxContent>
                          <w:p w:rsidR="006C58DA" w:rsidRPr="00282EBE" w:rsidRDefault="006C58DA" w:rsidP="006C58DA">
                            <w:pPr>
                              <w:spacing w:after="0" w:line="240" w:lineRule="auto"/>
                              <w:jc w:val="center"/>
                              <w:rPr>
                                <w:sz w:val="24"/>
                              </w:rPr>
                            </w:pPr>
                            <w:r w:rsidRPr="00282EBE">
                              <w:rPr>
                                <w:sz w:val="24"/>
                              </w:rPr>
                              <w:t>Versión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12EE0" id="_x0000_s1027" type="#_x0000_t202" style="position:absolute;margin-left:152.8pt;margin-top:4.8pt;width:125.5pt;height:21.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">
                <v:textbox>
                  <w:txbxContent>
                    <w:p w:rsidR="006C58DA" w:rsidRPr="00282EBE" w:rsidRDefault="006C58DA" w:rsidP="006C58DA">
                      <w:pPr>
                        <w:spacing w:after="0" w:line="240" w:lineRule="auto"/>
                        <w:jc w:val="center"/>
                        <w:rPr>
                          <w:sz w:val="24"/>
                        </w:rPr>
                      </w:pPr>
                      <w:r w:rsidRPr="00282EBE">
                        <w:rPr>
                          <w:sz w:val="24"/>
                        </w:rPr>
                        <w:t>Versión 1.0</w:t>
                      </w:r>
                    </w:p>
                  </w:txbxContent>
                </v:textbox>
                <w10:wrap type="square"/>
              </v:shape>
            </w:pict>
          </mc:Fallback>
        </mc:AlternateContent>
      </w:r>
    </w:p>
    <w:p w:rsidR="00F545D4" w:rsidRPr="00E542BB" w:rsidRDefault="00F545D4"/>
    <w:p w:rsidR="00F545D4" w:rsidRPr="00E542BB" w:rsidRDefault="00F545D4"/>
    <w:p w:rsidR="00F545D4" w:rsidRPr="00E542BB" w:rsidRDefault="00F545D4"/>
    <w:p w:rsidR="00F545D4" w:rsidRPr="00E542BB" w:rsidRDefault="00F545D4"/>
    <w:p w:rsidR="00E542BB" w:rsidRPr="00E542BB" w:rsidRDefault="00E542BB" w:rsidP="00E542BB">
      <w:pPr>
        <w:pStyle w:val="Ttulo1"/>
        <w:spacing w:line="240" w:lineRule="auto"/>
        <w:rPr>
          <w:rFonts w:asciiTheme="minorHAnsi" w:hAnsiTheme="minorHAnsi"/>
        </w:rPr>
      </w:pPr>
      <w:bookmarkStart w:id="0" w:name="_Toc536609198"/>
      <w:r w:rsidRPr="00E542BB">
        <w:rPr>
          <w:rFonts w:asciiTheme="minorHAnsi" w:hAnsiTheme="minorHAnsi"/>
        </w:rPr>
        <w:lastRenderedPageBreak/>
        <w:t>Componente 5. Mecanismos para la transparencia y acceso a la información</w:t>
      </w:r>
      <w:bookmarkEnd w:id="0"/>
    </w:p>
    <w:p w:rsidR="00E542BB" w:rsidRPr="00E542BB" w:rsidRDefault="00E542BB" w:rsidP="00E542BB">
      <w:pPr>
        <w:spacing w:after="120" w:line="240" w:lineRule="auto"/>
        <w:jc w:val="both"/>
        <w:rPr>
          <w:rFonts w:cs="Arial"/>
          <w:b/>
          <w:color w:val="FF0000"/>
          <w:szCs w:val="24"/>
        </w:rPr>
      </w:pPr>
    </w:p>
    <w:p w:rsidR="00E542BB" w:rsidRPr="00E542BB" w:rsidRDefault="00E542BB" w:rsidP="00E542BB">
      <w:pPr>
        <w:spacing w:after="120" w:line="240" w:lineRule="auto"/>
        <w:jc w:val="both"/>
        <w:rPr>
          <w:rFonts w:cs="Arial"/>
          <w:szCs w:val="24"/>
        </w:rPr>
      </w:pPr>
      <w:r w:rsidRPr="00E542BB">
        <w:rPr>
          <w:rFonts w:cs="Arial"/>
          <w:b/>
          <w:szCs w:val="24"/>
        </w:rPr>
        <w:t xml:space="preserve">Transparencia activa: </w:t>
      </w:r>
      <w:r w:rsidRPr="00E542BB">
        <w:rPr>
          <w:rFonts w:cs="Arial"/>
          <w:szCs w:val="24"/>
        </w:rPr>
        <w:t xml:space="preserve">La AGR continuará dando aplicación a la transparencia activa a través de la disponibilidad de información a través de medios físicos y electrónicos. Se publicará la información en el portal web institucional </w:t>
      </w:r>
      <w:hyperlink r:id="rId9" w:history="1">
        <w:r w:rsidRPr="00E542BB">
          <w:rPr>
            <w:rFonts w:cs="Arial"/>
            <w:szCs w:val="24"/>
            <w:u w:val="single"/>
          </w:rPr>
          <w:t>www.auditoria.gov.co</w:t>
        </w:r>
      </w:hyperlink>
      <w:r w:rsidRPr="00E542BB">
        <w:rPr>
          <w:rFonts w:cs="Arial"/>
          <w:szCs w:val="24"/>
        </w:rPr>
        <w:t xml:space="preserve">  de acuerdo con los parámetros establecidos por la ley 1712 de 2014.</w:t>
      </w:r>
    </w:p>
    <w:p w:rsidR="00E542BB" w:rsidRPr="00E542BB" w:rsidRDefault="00E542BB" w:rsidP="00E542BB">
      <w:pPr>
        <w:spacing w:after="120" w:line="240" w:lineRule="auto"/>
        <w:jc w:val="both"/>
        <w:rPr>
          <w:rFonts w:cs="Arial"/>
          <w:szCs w:val="24"/>
        </w:rPr>
      </w:pPr>
      <w:r w:rsidRPr="00E542BB">
        <w:rPr>
          <w:rFonts w:cs="Arial"/>
          <w:szCs w:val="24"/>
        </w:rPr>
        <w:t>La AGR  publicará de manera permanente y/o divulgará la información correspondiente a transparencia y derecho de la información de los siguientes temas entre otros:</w:t>
      </w:r>
    </w:p>
    <w:p w:rsidR="00E542BB" w:rsidRPr="00E542BB" w:rsidRDefault="00E542BB" w:rsidP="00E542BB">
      <w:pPr>
        <w:spacing w:after="120" w:line="240" w:lineRule="auto"/>
        <w:jc w:val="both"/>
        <w:rPr>
          <w:rFonts w:cs="Arial"/>
          <w:szCs w:val="24"/>
        </w:rPr>
      </w:pPr>
    </w:p>
    <w:p w:rsidR="00E542BB" w:rsidRPr="00E542BB" w:rsidRDefault="00E542BB" w:rsidP="00E542BB">
      <w:pPr>
        <w:numPr>
          <w:ilvl w:val="0"/>
          <w:numId w:val="3"/>
        </w:numPr>
        <w:spacing w:after="120" w:line="240" w:lineRule="auto"/>
        <w:ind w:left="425" w:hanging="425"/>
        <w:jc w:val="both"/>
        <w:rPr>
          <w:rFonts w:cs="Arial"/>
          <w:szCs w:val="24"/>
        </w:rPr>
      </w:pPr>
      <w:r w:rsidRPr="00E542BB">
        <w:rPr>
          <w:rFonts w:cs="Arial"/>
          <w:szCs w:val="24"/>
        </w:rPr>
        <w:t>Publicación de información obligatoria sobre la estructura.</w:t>
      </w:r>
    </w:p>
    <w:p w:rsidR="00E542BB" w:rsidRPr="00E542BB" w:rsidRDefault="00E542BB" w:rsidP="00E542BB">
      <w:pPr>
        <w:numPr>
          <w:ilvl w:val="0"/>
          <w:numId w:val="3"/>
        </w:numPr>
        <w:spacing w:after="120" w:line="240" w:lineRule="auto"/>
        <w:ind w:left="425" w:hanging="425"/>
        <w:jc w:val="both"/>
        <w:rPr>
          <w:rFonts w:cs="Arial"/>
          <w:szCs w:val="24"/>
        </w:rPr>
      </w:pPr>
      <w:r w:rsidRPr="00E542BB">
        <w:rPr>
          <w:rFonts w:cs="Arial"/>
          <w:szCs w:val="24"/>
        </w:rPr>
        <w:t>Publicación de información mínima obligatoria de procedimientos, servicios y funcionamiento.</w:t>
      </w:r>
    </w:p>
    <w:p w:rsidR="00E542BB" w:rsidRPr="00E542BB" w:rsidRDefault="00E542BB" w:rsidP="00E542BB">
      <w:pPr>
        <w:numPr>
          <w:ilvl w:val="0"/>
          <w:numId w:val="3"/>
        </w:numPr>
        <w:spacing w:after="120" w:line="240" w:lineRule="auto"/>
        <w:ind w:left="425" w:hanging="425"/>
        <w:jc w:val="both"/>
        <w:rPr>
          <w:rFonts w:cs="Arial"/>
          <w:szCs w:val="24"/>
        </w:rPr>
      </w:pPr>
      <w:r w:rsidRPr="00E542BB">
        <w:rPr>
          <w:rFonts w:cs="Arial"/>
          <w:szCs w:val="24"/>
        </w:rPr>
        <w:t>Divulgación de datos abiertos</w:t>
      </w:r>
    </w:p>
    <w:p w:rsidR="00E542BB" w:rsidRPr="00E542BB" w:rsidRDefault="00E542BB" w:rsidP="00E542BB">
      <w:pPr>
        <w:numPr>
          <w:ilvl w:val="0"/>
          <w:numId w:val="3"/>
        </w:numPr>
        <w:spacing w:after="120" w:line="240" w:lineRule="auto"/>
        <w:ind w:left="425" w:hanging="425"/>
        <w:jc w:val="both"/>
        <w:rPr>
          <w:rFonts w:cs="Arial"/>
          <w:szCs w:val="24"/>
        </w:rPr>
      </w:pPr>
      <w:r w:rsidRPr="00E542BB">
        <w:rPr>
          <w:rFonts w:cs="Arial"/>
          <w:szCs w:val="24"/>
        </w:rPr>
        <w:t>Publicación de información sobre contratación pública</w:t>
      </w:r>
    </w:p>
    <w:p w:rsidR="00E542BB" w:rsidRPr="00E542BB" w:rsidRDefault="00E542BB" w:rsidP="00E542BB">
      <w:pPr>
        <w:spacing w:after="120" w:line="240" w:lineRule="auto"/>
        <w:ind w:left="720"/>
        <w:contextualSpacing/>
        <w:jc w:val="both"/>
        <w:rPr>
          <w:rFonts w:cs="Arial"/>
          <w:color w:val="FF0000"/>
          <w:szCs w:val="24"/>
        </w:rPr>
      </w:pPr>
    </w:p>
    <w:p w:rsidR="00E542BB" w:rsidRPr="00E542BB" w:rsidRDefault="00E542BB" w:rsidP="00E542BB">
      <w:pPr>
        <w:spacing w:after="120" w:line="240" w:lineRule="auto"/>
        <w:jc w:val="both"/>
        <w:rPr>
          <w:rFonts w:cs="Arial"/>
          <w:szCs w:val="24"/>
        </w:rPr>
      </w:pPr>
      <w:r w:rsidRPr="00E542BB">
        <w:rPr>
          <w:rFonts w:cs="Arial"/>
          <w:b/>
          <w:szCs w:val="24"/>
        </w:rPr>
        <w:t xml:space="preserve">Transparencia Pasiva: </w:t>
      </w:r>
      <w:r w:rsidRPr="00E542BB">
        <w:rPr>
          <w:rFonts w:cs="Arial"/>
          <w:szCs w:val="24"/>
        </w:rPr>
        <w:t>La AGR continuará con la obligación de responder las solicitudes de acceso a la información en los términos establecidos en la Ley. En este sentido se cuenta con un equipo de funcionarios altamente capacitados, con apoyo tecnológico y procedimientos establecidos para atender diligentemente las solicitudes de información siguiendo los lineamientos del Programa Nacional de Servicio al Ciudadano el cual se detalla en el cuarto componente.</w:t>
      </w:r>
    </w:p>
    <w:p w:rsidR="00E542BB" w:rsidRPr="00E542BB" w:rsidRDefault="00E542BB" w:rsidP="00E542BB">
      <w:pPr>
        <w:pStyle w:val="Ttulo2"/>
        <w:spacing w:before="0" w:after="120" w:line="240" w:lineRule="auto"/>
        <w:jc w:val="both"/>
        <w:rPr>
          <w:rFonts w:asciiTheme="minorHAnsi" w:hAnsiTheme="minorHAnsi" w:cs="Arial"/>
          <w:sz w:val="24"/>
          <w:szCs w:val="24"/>
        </w:rPr>
      </w:pPr>
    </w:p>
    <w:p w:rsidR="00E542BB" w:rsidRPr="00E542BB" w:rsidRDefault="00E542BB" w:rsidP="00E542BB">
      <w:pPr>
        <w:pStyle w:val="Ttulo2"/>
        <w:spacing w:before="0" w:after="120" w:line="240" w:lineRule="auto"/>
        <w:rPr>
          <w:rFonts w:asciiTheme="minorHAnsi" w:hAnsiTheme="minorHAnsi" w:cs="Arial"/>
          <w:b/>
          <w:color w:val="auto"/>
          <w:sz w:val="24"/>
          <w:szCs w:val="24"/>
        </w:rPr>
      </w:pPr>
      <w:bookmarkStart w:id="1" w:name="_Toc536609199"/>
      <w:r w:rsidRPr="00E542BB">
        <w:rPr>
          <w:rFonts w:asciiTheme="minorHAnsi" w:hAnsiTheme="minorHAnsi" w:cs="Arial"/>
          <w:b/>
          <w:color w:val="auto"/>
          <w:sz w:val="24"/>
          <w:szCs w:val="24"/>
        </w:rPr>
        <w:t>Criterio diferencial de accesibilidad</w:t>
      </w:r>
      <w:bookmarkEnd w:id="1"/>
    </w:p>
    <w:p w:rsidR="00E542BB" w:rsidRPr="00E542BB" w:rsidRDefault="00E542BB" w:rsidP="00E542BB">
      <w:pPr>
        <w:spacing w:after="120" w:line="240" w:lineRule="auto"/>
        <w:jc w:val="both"/>
        <w:rPr>
          <w:rFonts w:cs="Arial"/>
          <w:szCs w:val="24"/>
        </w:rPr>
      </w:pPr>
    </w:p>
    <w:p w:rsidR="00E542BB" w:rsidRPr="00E542BB" w:rsidRDefault="00E542BB" w:rsidP="00E542BB">
      <w:pPr>
        <w:spacing w:after="120" w:line="240" w:lineRule="auto"/>
        <w:jc w:val="both"/>
        <w:rPr>
          <w:rFonts w:cs="Arial"/>
          <w:szCs w:val="24"/>
        </w:rPr>
      </w:pPr>
      <w:r w:rsidRPr="00E542BB">
        <w:rPr>
          <w:rFonts w:cs="Arial"/>
          <w:szCs w:val="24"/>
        </w:rPr>
        <w:t>La AGR continuará cumpliendo con este criterio, para esto se mantendrá el área de atención al ciudadano en el primer piso de la sede central ubicada en la Carrera 57C No. 64A-29 en la ciudad de Bogotá D.C., PBX: (571) 3186800. Igualmente, con sus diez (10) gerencias seccionales el servicio de atención al ciudadano. Ciudades donde se tienen las gerencias: Medellín, Bogotá, Cali, Bucaramanga, Barranquilla, Neiva, Armenia, Cúcuta, Villavicencio y Montería.</w:t>
      </w:r>
    </w:p>
    <w:p w:rsidR="00E542BB" w:rsidRPr="00E542BB" w:rsidRDefault="00E542BB" w:rsidP="00E542BB">
      <w:pPr>
        <w:spacing w:after="120" w:line="240" w:lineRule="auto"/>
        <w:jc w:val="both"/>
        <w:rPr>
          <w:rFonts w:cs="Arial"/>
          <w:szCs w:val="24"/>
        </w:rPr>
      </w:pPr>
      <w:r w:rsidRPr="00E542BB">
        <w:rPr>
          <w:rFonts w:cs="Arial"/>
          <w:szCs w:val="24"/>
        </w:rPr>
        <w:t xml:space="preserve">La AGR atenderá población en condición de discapacidad a través de la Herramienta  CVT (Tecnología de acceso para la población en condición de discapacidad visual). Esta herramienta es desarrolla por el </w:t>
      </w:r>
      <w:r w:rsidRPr="00E542BB">
        <w:rPr>
          <w:rFonts w:cs="Arial"/>
          <w:shd w:val="clear" w:color="auto" w:fill="FFFFFF"/>
        </w:rPr>
        <w:t xml:space="preserve">Ministerio de Tecnologías de la Información y las Comunicaciones de Colombia </w:t>
      </w:r>
      <w:r w:rsidRPr="00E542BB">
        <w:rPr>
          <w:rFonts w:cs="Arial"/>
          <w:szCs w:val="24"/>
        </w:rPr>
        <w:t xml:space="preserve">MINTIC. </w:t>
      </w:r>
    </w:p>
    <w:p w:rsidR="00E542BB" w:rsidRPr="00E542BB" w:rsidRDefault="00E542BB" w:rsidP="00E542BB">
      <w:pPr>
        <w:spacing w:after="120" w:line="240" w:lineRule="auto"/>
        <w:jc w:val="center"/>
        <w:rPr>
          <w:rFonts w:cs="Arial"/>
          <w:szCs w:val="24"/>
        </w:rPr>
      </w:pPr>
      <w:r w:rsidRPr="00E542BB">
        <w:rPr>
          <w:noProof/>
          <w:lang w:eastAsia="es-CO"/>
        </w:rPr>
        <w:drawing>
          <wp:inline distT="0" distB="0" distL="0" distR="0" wp14:anchorId="04F46565" wp14:editId="2EE287C5">
            <wp:extent cx="2917431" cy="499731"/>
            <wp:effectExtent l="0" t="0" r="0" b="0"/>
            <wp:docPr id="31" name="Imagen 31" descr="http://www.auditoria.gov.co/PublishingImages/Galeria/AGRWeb-BotonConver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ditoria.gov.co/PublishingImages/Galeria/AGRWeb-BotonConvert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0942" cy="502045"/>
                    </a:xfrm>
                    <a:prstGeom prst="rect">
                      <a:avLst/>
                    </a:prstGeom>
                    <a:noFill/>
                    <a:ln>
                      <a:noFill/>
                    </a:ln>
                  </pic:spPr>
                </pic:pic>
              </a:graphicData>
            </a:graphic>
          </wp:inline>
        </w:drawing>
      </w:r>
    </w:p>
    <w:p w:rsidR="00E542BB" w:rsidRPr="00E542BB" w:rsidRDefault="00E542BB" w:rsidP="00E542BB">
      <w:pPr>
        <w:spacing w:after="120" w:line="240" w:lineRule="auto"/>
        <w:jc w:val="both"/>
        <w:rPr>
          <w:rFonts w:cs="Arial"/>
          <w:szCs w:val="24"/>
        </w:rPr>
      </w:pPr>
      <w:r w:rsidRPr="00E542BB">
        <w:rPr>
          <w:rFonts w:cs="Arial"/>
          <w:szCs w:val="24"/>
        </w:rPr>
        <w:t xml:space="preserve">En el evento que se presenten solicitudes de información en idioma o lenguaje de los grupos étnicos del territorio colombiano se procederá a acudir a las entidades competentes como es el Ministerio del Interior para que brinden apoyo en transcribir la información entrante y saliente que cumpla con los parámetros de criterio diferencial integral. De no contar con dicho apoyo la AGR contrataría a traductores de ser necesario. A la fecha no se ha presentado un PQRD con dichas características. </w:t>
      </w:r>
    </w:p>
    <w:p w:rsidR="00E542BB" w:rsidRPr="00E542BB" w:rsidRDefault="00E542BB" w:rsidP="00E542BB">
      <w:pPr>
        <w:pStyle w:val="Ttulo1"/>
        <w:spacing w:before="0" w:after="120" w:line="240" w:lineRule="auto"/>
        <w:rPr>
          <w:rFonts w:asciiTheme="minorHAnsi" w:hAnsiTheme="minorHAnsi" w:cs="Arial"/>
          <w:sz w:val="24"/>
          <w:szCs w:val="24"/>
        </w:rPr>
      </w:pPr>
    </w:p>
    <w:p w:rsidR="00E542BB" w:rsidRPr="00E542BB" w:rsidRDefault="00E542BB" w:rsidP="00E542BB">
      <w:pPr>
        <w:pStyle w:val="Ttulo1"/>
        <w:spacing w:before="0" w:line="240" w:lineRule="auto"/>
        <w:rPr>
          <w:rFonts w:asciiTheme="minorHAnsi" w:hAnsiTheme="minorHAnsi" w:cs="Arial"/>
          <w:sz w:val="24"/>
          <w:szCs w:val="24"/>
        </w:rPr>
      </w:pPr>
      <w:bookmarkStart w:id="2" w:name="_Toc536609200"/>
      <w:r w:rsidRPr="00E542BB">
        <w:rPr>
          <w:rFonts w:asciiTheme="minorHAnsi" w:hAnsiTheme="minorHAnsi" w:cs="Arial"/>
          <w:sz w:val="24"/>
          <w:szCs w:val="24"/>
        </w:rPr>
        <w:t>Seguimiento, Monitoreo, Control y Evaluación</w:t>
      </w:r>
      <w:bookmarkEnd w:id="2"/>
      <w:r w:rsidRPr="00E542BB">
        <w:rPr>
          <w:rFonts w:asciiTheme="minorHAnsi" w:hAnsiTheme="minorHAnsi" w:cs="Arial"/>
          <w:sz w:val="24"/>
          <w:szCs w:val="24"/>
        </w:rPr>
        <w:t xml:space="preserve"> </w:t>
      </w:r>
    </w:p>
    <w:p w:rsidR="00E542BB" w:rsidRPr="00E542BB" w:rsidRDefault="00E542BB" w:rsidP="00E542BB">
      <w:pPr>
        <w:spacing w:after="0" w:line="240" w:lineRule="auto"/>
        <w:jc w:val="both"/>
        <w:rPr>
          <w:rFonts w:cs="Arial"/>
          <w:szCs w:val="24"/>
        </w:rPr>
      </w:pPr>
    </w:p>
    <w:p w:rsidR="00E542BB" w:rsidRDefault="00E542BB" w:rsidP="00E542BB">
      <w:pPr>
        <w:spacing w:after="0" w:line="240" w:lineRule="auto"/>
        <w:jc w:val="both"/>
        <w:rPr>
          <w:rFonts w:cs="Arial"/>
          <w:szCs w:val="24"/>
        </w:rPr>
      </w:pPr>
      <w:r w:rsidRPr="00E542BB">
        <w:rPr>
          <w:rFonts w:cs="Arial"/>
          <w:szCs w:val="24"/>
        </w:rPr>
        <w:t xml:space="preserve">El  seguimiento de las  actividades se realizará por los responsables de proceso en coordinación con la Oficina de Planeación a través de </w:t>
      </w:r>
      <w:proofErr w:type="spellStart"/>
      <w:r w:rsidRPr="00E542BB">
        <w:rPr>
          <w:rFonts w:cs="Arial"/>
          <w:szCs w:val="24"/>
        </w:rPr>
        <w:t>monitoreos</w:t>
      </w:r>
      <w:proofErr w:type="spellEnd"/>
      <w:r w:rsidRPr="00E542BB">
        <w:rPr>
          <w:rFonts w:cs="Arial"/>
          <w:szCs w:val="24"/>
        </w:rPr>
        <w:t>. Las fechas de seguimiento al avance de cumplimiento del Plan Anticorrupción son: 30 de abril, 31 de agosto, 31 de diciembre, para lo cual se definirá una valoración de la sumatoria de las diferentes actividades establecidas en cada componente.</w:t>
      </w:r>
    </w:p>
    <w:p w:rsidR="00E542BB" w:rsidRPr="00E542BB" w:rsidRDefault="00E542BB" w:rsidP="00E542BB">
      <w:pPr>
        <w:spacing w:after="0" w:line="240" w:lineRule="auto"/>
        <w:jc w:val="both"/>
        <w:rPr>
          <w:rFonts w:cs="Arial"/>
          <w:szCs w:val="24"/>
        </w:rPr>
      </w:pPr>
    </w:p>
    <w:tbl>
      <w:tblPr>
        <w:tblStyle w:val="Sombreadoclaro"/>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35"/>
        <w:gridCol w:w="1558"/>
        <w:gridCol w:w="1551"/>
        <w:gridCol w:w="1558"/>
      </w:tblGrid>
      <w:tr w:rsidR="00E542BB" w:rsidRPr="00E542BB" w:rsidTr="00E542BB">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9464" w:type="dxa"/>
            <w:gridSpan w:val="5"/>
            <w:tcBorders>
              <w:top w:val="none" w:sz="0" w:space="0" w:color="auto"/>
              <w:left w:val="none" w:sz="0" w:space="0" w:color="auto"/>
              <w:bottom w:val="none" w:sz="0" w:space="0" w:color="auto"/>
              <w:right w:val="none" w:sz="0" w:space="0" w:color="auto"/>
            </w:tcBorders>
          </w:tcPr>
          <w:p w:rsidR="00E542BB" w:rsidRPr="00E542BB" w:rsidRDefault="00E542BB" w:rsidP="004F7273">
            <w:pPr>
              <w:jc w:val="center"/>
              <w:rPr>
                <w:rFonts w:asciiTheme="minorHAnsi" w:hAnsiTheme="minorHAnsi" w:cs="Arial"/>
                <w:color w:val="auto"/>
                <w:sz w:val="20"/>
                <w:szCs w:val="24"/>
              </w:rPr>
            </w:pPr>
            <w:r w:rsidRPr="00E542BB">
              <w:rPr>
                <w:rFonts w:asciiTheme="minorHAnsi" w:hAnsiTheme="minorHAnsi" w:cs="Arial"/>
                <w:color w:val="auto"/>
                <w:sz w:val="20"/>
                <w:szCs w:val="24"/>
              </w:rPr>
              <w:t>Seguimiento al Plan anticorrupción y de Atención al ciudadano vigencia 2019</w:t>
            </w:r>
          </w:p>
        </w:tc>
      </w:tr>
      <w:tr w:rsidR="00E542BB" w:rsidRPr="00E542BB" w:rsidTr="00E542BB">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462" w:type="dxa"/>
            <w:tcBorders>
              <w:left w:val="none" w:sz="0" w:space="0" w:color="auto"/>
              <w:right w:val="none" w:sz="0" w:space="0" w:color="auto"/>
            </w:tcBorders>
            <w:vAlign w:val="center"/>
          </w:tcPr>
          <w:p w:rsidR="00E542BB" w:rsidRPr="00E542BB" w:rsidRDefault="00E542BB" w:rsidP="004F7273">
            <w:pPr>
              <w:jc w:val="center"/>
              <w:rPr>
                <w:rFonts w:asciiTheme="minorHAnsi" w:hAnsiTheme="minorHAnsi" w:cs="Arial"/>
                <w:b w:val="0"/>
                <w:color w:val="auto"/>
                <w:sz w:val="20"/>
                <w:szCs w:val="24"/>
              </w:rPr>
            </w:pPr>
            <w:r w:rsidRPr="00E542BB">
              <w:rPr>
                <w:rFonts w:asciiTheme="minorHAnsi" w:hAnsiTheme="minorHAnsi" w:cs="Arial"/>
                <w:b w:val="0"/>
                <w:color w:val="auto"/>
                <w:sz w:val="20"/>
                <w:szCs w:val="24"/>
              </w:rPr>
              <w:t>Componentes</w:t>
            </w:r>
          </w:p>
        </w:tc>
        <w:tc>
          <w:tcPr>
            <w:tcW w:w="2335"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Actividades</w:t>
            </w:r>
          </w:p>
        </w:tc>
        <w:tc>
          <w:tcPr>
            <w:tcW w:w="1558"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Seguimiento a abril</w:t>
            </w:r>
          </w:p>
        </w:tc>
        <w:tc>
          <w:tcPr>
            <w:tcW w:w="1551"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Seguimiento a agosto</w:t>
            </w:r>
          </w:p>
        </w:tc>
        <w:tc>
          <w:tcPr>
            <w:tcW w:w="1558"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Seguimiento a diciembre</w:t>
            </w:r>
          </w:p>
        </w:tc>
      </w:tr>
      <w:tr w:rsidR="00E542BB" w:rsidRPr="00E542BB" w:rsidTr="004F7273">
        <w:tc>
          <w:tcPr>
            <w:cnfStyle w:val="001000000000" w:firstRow="0" w:lastRow="0" w:firstColumn="1" w:lastColumn="0" w:oddVBand="0" w:evenVBand="0" w:oddHBand="0" w:evenHBand="0" w:firstRowFirstColumn="0" w:firstRowLastColumn="0" w:lastRowFirstColumn="0" w:lastRowLastColumn="0"/>
            <w:tcW w:w="2462" w:type="dxa"/>
            <w:vAlign w:val="center"/>
          </w:tcPr>
          <w:p w:rsidR="00E542BB" w:rsidRPr="00E542BB" w:rsidRDefault="00E542BB" w:rsidP="004F7273">
            <w:pPr>
              <w:rPr>
                <w:rFonts w:asciiTheme="minorHAnsi" w:hAnsiTheme="minorHAnsi" w:cs="Arial"/>
                <w:b w:val="0"/>
                <w:color w:val="auto"/>
                <w:sz w:val="20"/>
                <w:szCs w:val="24"/>
              </w:rPr>
            </w:pPr>
            <w:r w:rsidRPr="00E542BB">
              <w:rPr>
                <w:rFonts w:asciiTheme="minorHAnsi" w:hAnsiTheme="minorHAnsi" w:cs="Arial"/>
                <w:b w:val="0"/>
                <w:color w:val="auto"/>
                <w:sz w:val="20"/>
                <w:szCs w:val="24"/>
              </w:rPr>
              <w:t>1. Gestión de riesgos de corrupción</w:t>
            </w:r>
          </w:p>
        </w:tc>
        <w:tc>
          <w:tcPr>
            <w:tcW w:w="2335"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Oficina de Control Interno realiza el seguimiento</w:t>
            </w:r>
          </w:p>
        </w:tc>
        <w:tc>
          <w:tcPr>
            <w:tcW w:w="1558"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c>
          <w:tcPr>
            <w:tcW w:w="1551"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c>
          <w:tcPr>
            <w:tcW w:w="1558"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r>
      <w:tr w:rsidR="00E542BB" w:rsidRPr="00E542BB" w:rsidTr="004F7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Borders>
              <w:left w:val="none" w:sz="0" w:space="0" w:color="auto"/>
              <w:right w:val="none" w:sz="0" w:space="0" w:color="auto"/>
            </w:tcBorders>
            <w:vAlign w:val="center"/>
          </w:tcPr>
          <w:p w:rsidR="00E542BB" w:rsidRPr="00E542BB" w:rsidRDefault="00E542BB" w:rsidP="004F7273">
            <w:pPr>
              <w:rPr>
                <w:rFonts w:asciiTheme="minorHAnsi" w:hAnsiTheme="minorHAnsi" w:cs="Arial"/>
                <w:b w:val="0"/>
                <w:color w:val="auto"/>
                <w:sz w:val="20"/>
                <w:szCs w:val="24"/>
              </w:rPr>
            </w:pPr>
            <w:r w:rsidRPr="00E542BB">
              <w:rPr>
                <w:rFonts w:asciiTheme="minorHAnsi" w:hAnsiTheme="minorHAnsi" w:cs="Arial"/>
                <w:b w:val="0"/>
                <w:color w:val="auto"/>
                <w:sz w:val="20"/>
                <w:szCs w:val="24"/>
              </w:rPr>
              <w:t>2.Racionalización de tramites</w:t>
            </w:r>
          </w:p>
        </w:tc>
        <w:tc>
          <w:tcPr>
            <w:tcW w:w="2335"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Oficina de Control Interno realiza el seguimiento</w:t>
            </w:r>
          </w:p>
        </w:tc>
        <w:tc>
          <w:tcPr>
            <w:tcW w:w="1558"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c>
          <w:tcPr>
            <w:tcW w:w="1551"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c>
          <w:tcPr>
            <w:tcW w:w="1558"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r>
      <w:tr w:rsidR="00E542BB" w:rsidRPr="00E542BB" w:rsidTr="004F7273">
        <w:tc>
          <w:tcPr>
            <w:cnfStyle w:val="001000000000" w:firstRow="0" w:lastRow="0" w:firstColumn="1" w:lastColumn="0" w:oddVBand="0" w:evenVBand="0" w:oddHBand="0" w:evenHBand="0" w:firstRowFirstColumn="0" w:firstRowLastColumn="0" w:lastRowFirstColumn="0" w:lastRowLastColumn="0"/>
            <w:tcW w:w="2462" w:type="dxa"/>
            <w:vAlign w:val="center"/>
          </w:tcPr>
          <w:p w:rsidR="00E542BB" w:rsidRPr="00E542BB" w:rsidRDefault="00E542BB" w:rsidP="004F7273">
            <w:pPr>
              <w:rPr>
                <w:rFonts w:asciiTheme="minorHAnsi" w:hAnsiTheme="minorHAnsi" w:cs="Arial"/>
                <w:b w:val="0"/>
                <w:color w:val="auto"/>
                <w:sz w:val="20"/>
                <w:szCs w:val="24"/>
              </w:rPr>
            </w:pPr>
            <w:r w:rsidRPr="00E542BB">
              <w:rPr>
                <w:rFonts w:asciiTheme="minorHAnsi" w:hAnsiTheme="minorHAnsi" w:cs="Arial"/>
                <w:b w:val="0"/>
                <w:color w:val="auto"/>
                <w:sz w:val="20"/>
                <w:szCs w:val="24"/>
              </w:rPr>
              <w:t>3. Rendición de cuentas</w:t>
            </w:r>
          </w:p>
        </w:tc>
        <w:tc>
          <w:tcPr>
            <w:tcW w:w="2335"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Oficina de Control Interno realiza el seguimiento</w:t>
            </w:r>
          </w:p>
        </w:tc>
        <w:tc>
          <w:tcPr>
            <w:tcW w:w="1558"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c>
          <w:tcPr>
            <w:tcW w:w="1551"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c>
          <w:tcPr>
            <w:tcW w:w="1558"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r>
      <w:tr w:rsidR="00E542BB" w:rsidRPr="00E542BB" w:rsidTr="004F72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2" w:type="dxa"/>
            <w:tcBorders>
              <w:left w:val="none" w:sz="0" w:space="0" w:color="auto"/>
              <w:right w:val="none" w:sz="0" w:space="0" w:color="auto"/>
            </w:tcBorders>
            <w:vAlign w:val="center"/>
          </w:tcPr>
          <w:p w:rsidR="00E542BB" w:rsidRPr="00E542BB" w:rsidRDefault="00E542BB" w:rsidP="004F7273">
            <w:pPr>
              <w:rPr>
                <w:rFonts w:asciiTheme="minorHAnsi" w:hAnsiTheme="minorHAnsi" w:cs="Arial"/>
                <w:b w:val="0"/>
                <w:color w:val="auto"/>
                <w:sz w:val="20"/>
                <w:szCs w:val="24"/>
              </w:rPr>
            </w:pPr>
            <w:r w:rsidRPr="00E542BB">
              <w:rPr>
                <w:rFonts w:asciiTheme="minorHAnsi" w:hAnsiTheme="minorHAnsi" w:cs="Arial"/>
                <w:b w:val="0"/>
                <w:color w:val="auto"/>
                <w:sz w:val="20"/>
                <w:szCs w:val="24"/>
              </w:rPr>
              <w:t>4. Mecanismos para mejorar la atención al ciudadano</w:t>
            </w:r>
          </w:p>
        </w:tc>
        <w:tc>
          <w:tcPr>
            <w:tcW w:w="2335"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Oficina de Control Interno realiza el seguimiento</w:t>
            </w:r>
          </w:p>
        </w:tc>
        <w:tc>
          <w:tcPr>
            <w:tcW w:w="1558"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c>
          <w:tcPr>
            <w:tcW w:w="1551"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c>
          <w:tcPr>
            <w:tcW w:w="1558" w:type="dxa"/>
            <w:tcBorders>
              <w:left w:val="none" w:sz="0" w:space="0" w:color="auto"/>
              <w:right w:val="none" w:sz="0" w:space="0" w:color="auto"/>
            </w:tcBorders>
            <w:vAlign w:val="center"/>
          </w:tcPr>
          <w:p w:rsidR="00E542BB" w:rsidRPr="00E542BB" w:rsidRDefault="00E542BB" w:rsidP="004F727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r>
      <w:tr w:rsidR="00E542BB" w:rsidRPr="00E542BB" w:rsidTr="004F7273">
        <w:tc>
          <w:tcPr>
            <w:cnfStyle w:val="001000000000" w:firstRow="0" w:lastRow="0" w:firstColumn="1" w:lastColumn="0" w:oddVBand="0" w:evenVBand="0" w:oddHBand="0" w:evenHBand="0" w:firstRowFirstColumn="0" w:firstRowLastColumn="0" w:lastRowFirstColumn="0" w:lastRowLastColumn="0"/>
            <w:tcW w:w="2462" w:type="dxa"/>
            <w:vAlign w:val="center"/>
          </w:tcPr>
          <w:p w:rsidR="00E542BB" w:rsidRPr="00E542BB" w:rsidRDefault="00E542BB" w:rsidP="004F7273">
            <w:pPr>
              <w:rPr>
                <w:rFonts w:asciiTheme="minorHAnsi" w:hAnsiTheme="minorHAnsi" w:cs="Arial"/>
                <w:b w:val="0"/>
                <w:color w:val="auto"/>
                <w:sz w:val="20"/>
                <w:szCs w:val="24"/>
              </w:rPr>
            </w:pPr>
            <w:r w:rsidRPr="00E542BB">
              <w:rPr>
                <w:rFonts w:asciiTheme="minorHAnsi" w:hAnsiTheme="minorHAnsi" w:cs="Arial"/>
                <w:b w:val="0"/>
                <w:color w:val="auto"/>
                <w:sz w:val="20"/>
                <w:szCs w:val="24"/>
              </w:rPr>
              <w:t>5. Mecanismos para la Transparencia y Acceso a la Información.</w:t>
            </w:r>
          </w:p>
        </w:tc>
        <w:tc>
          <w:tcPr>
            <w:tcW w:w="2335"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Oficina de Control Interno realiza el seguimiento</w:t>
            </w:r>
          </w:p>
        </w:tc>
        <w:tc>
          <w:tcPr>
            <w:tcW w:w="1558"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c>
          <w:tcPr>
            <w:tcW w:w="1551"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c>
          <w:tcPr>
            <w:tcW w:w="1558" w:type="dxa"/>
            <w:vAlign w:val="center"/>
          </w:tcPr>
          <w:p w:rsidR="00E542BB" w:rsidRPr="00E542BB" w:rsidRDefault="00E542BB" w:rsidP="004F727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auto"/>
                <w:sz w:val="20"/>
                <w:szCs w:val="24"/>
              </w:rPr>
            </w:pPr>
            <w:r w:rsidRPr="00E542BB">
              <w:rPr>
                <w:rFonts w:asciiTheme="minorHAnsi" w:hAnsiTheme="minorHAnsi" w:cs="Arial"/>
                <w:color w:val="auto"/>
                <w:sz w:val="20"/>
                <w:szCs w:val="24"/>
              </w:rPr>
              <w:t>X</w:t>
            </w:r>
          </w:p>
        </w:tc>
      </w:tr>
    </w:tbl>
    <w:p w:rsidR="00E542BB" w:rsidRPr="00E542BB" w:rsidRDefault="00E542BB" w:rsidP="00E542BB">
      <w:pPr>
        <w:spacing w:after="0" w:line="240" w:lineRule="auto"/>
        <w:jc w:val="both"/>
        <w:rPr>
          <w:rFonts w:cs="Arial"/>
          <w:szCs w:val="24"/>
        </w:rPr>
      </w:pPr>
    </w:p>
    <w:p w:rsidR="00E542BB" w:rsidRPr="00E542BB" w:rsidRDefault="00E542BB" w:rsidP="00E542BB">
      <w:pPr>
        <w:spacing w:after="0" w:line="240" w:lineRule="auto"/>
        <w:jc w:val="both"/>
        <w:rPr>
          <w:rFonts w:cs="Arial"/>
          <w:szCs w:val="24"/>
        </w:rPr>
      </w:pPr>
      <w:r w:rsidRPr="00E542BB">
        <w:rPr>
          <w:rFonts w:cs="Arial"/>
          <w:szCs w:val="24"/>
        </w:rPr>
        <w:t xml:space="preserve">Para la vigencia 2019 se realizará, evaluación y seguimiento de la solidez y efectividad de los  controles que permiten reducir la probabilidad de materialización de los riesgos, identificados como parte de las estrategias para la construcción del PAAC, le corresponde a la Oficina de Control  Interno, siguiendo los lineamientos establecidos en el Decreto 2641 de 2012 y el decreto 124 de 2016. </w:t>
      </w:r>
    </w:p>
    <w:p w:rsidR="00E542BB" w:rsidRPr="00E542BB" w:rsidRDefault="00E542BB" w:rsidP="00E542BB">
      <w:pPr>
        <w:spacing w:after="0" w:line="240" w:lineRule="auto"/>
        <w:jc w:val="both"/>
        <w:rPr>
          <w:rFonts w:cs="Arial"/>
          <w:szCs w:val="24"/>
        </w:rPr>
      </w:pPr>
    </w:p>
    <w:p w:rsidR="00E542BB" w:rsidRPr="00E542BB" w:rsidRDefault="00E542BB" w:rsidP="00E542BB">
      <w:pPr>
        <w:spacing w:after="0" w:line="240" w:lineRule="auto"/>
        <w:jc w:val="both"/>
        <w:rPr>
          <w:rFonts w:cs="Arial"/>
          <w:szCs w:val="24"/>
        </w:rPr>
      </w:pPr>
      <w:r w:rsidRPr="00E542BB">
        <w:rPr>
          <w:rFonts w:cs="Arial"/>
          <w:szCs w:val="24"/>
        </w:rPr>
        <w:t>La evaluación del plan anticorrupción y de atención al ciudadano se realizará cada cuatrimestre durante el año 2019 y será desarrollará de la siguiente manera:</w:t>
      </w:r>
    </w:p>
    <w:p w:rsidR="00E542BB" w:rsidRPr="00E542BB" w:rsidRDefault="00E542BB" w:rsidP="00E542BB">
      <w:pPr>
        <w:spacing w:after="120" w:line="240" w:lineRule="auto"/>
        <w:ind w:left="425"/>
        <w:jc w:val="both"/>
        <w:rPr>
          <w:rFonts w:cs="Arial"/>
          <w:szCs w:val="24"/>
        </w:rPr>
      </w:pPr>
    </w:p>
    <w:p w:rsidR="00E542BB" w:rsidRPr="00E542BB" w:rsidRDefault="00E542BB" w:rsidP="00E542BB">
      <w:pPr>
        <w:numPr>
          <w:ilvl w:val="0"/>
          <w:numId w:val="3"/>
        </w:numPr>
        <w:spacing w:after="120" w:line="240" w:lineRule="auto"/>
        <w:ind w:left="425" w:hanging="425"/>
        <w:jc w:val="both"/>
        <w:rPr>
          <w:rFonts w:cs="Arial"/>
          <w:szCs w:val="24"/>
        </w:rPr>
      </w:pPr>
      <w:r w:rsidRPr="00E542BB">
        <w:rPr>
          <w:rFonts w:cs="Arial"/>
          <w:szCs w:val="24"/>
        </w:rPr>
        <w:t>Evaluación de control interno a corte 30 de abril,</w:t>
      </w:r>
    </w:p>
    <w:p w:rsidR="00E542BB" w:rsidRPr="00E542BB" w:rsidRDefault="00E542BB" w:rsidP="00E542BB">
      <w:pPr>
        <w:numPr>
          <w:ilvl w:val="0"/>
          <w:numId w:val="3"/>
        </w:numPr>
        <w:spacing w:after="120" w:line="240" w:lineRule="auto"/>
        <w:ind w:left="425" w:hanging="425"/>
        <w:jc w:val="both"/>
        <w:rPr>
          <w:rFonts w:cs="Arial"/>
          <w:szCs w:val="24"/>
        </w:rPr>
      </w:pPr>
      <w:r w:rsidRPr="00E542BB">
        <w:rPr>
          <w:rFonts w:cs="Arial"/>
          <w:szCs w:val="24"/>
        </w:rPr>
        <w:t>Evaluación de control interno a corte 31 de agosto</w:t>
      </w:r>
    </w:p>
    <w:p w:rsidR="00E542BB" w:rsidRPr="00E542BB" w:rsidRDefault="00E542BB" w:rsidP="00E542BB">
      <w:pPr>
        <w:numPr>
          <w:ilvl w:val="0"/>
          <w:numId w:val="3"/>
        </w:numPr>
        <w:spacing w:after="120" w:line="240" w:lineRule="auto"/>
        <w:ind w:left="425" w:hanging="425"/>
        <w:jc w:val="both"/>
        <w:rPr>
          <w:rFonts w:cs="Arial"/>
          <w:szCs w:val="24"/>
        </w:rPr>
      </w:pPr>
      <w:r w:rsidRPr="00E542BB">
        <w:rPr>
          <w:rFonts w:cs="Arial"/>
          <w:szCs w:val="24"/>
        </w:rPr>
        <w:t>Evaluación de control interno a corte 31 de diciembre</w:t>
      </w:r>
    </w:p>
    <w:p w:rsidR="00E542BB" w:rsidRPr="00E542BB" w:rsidRDefault="00E542BB" w:rsidP="00E542BB">
      <w:pPr>
        <w:pStyle w:val="Ttulo1"/>
        <w:spacing w:line="240" w:lineRule="auto"/>
        <w:rPr>
          <w:rFonts w:asciiTheme="minorHAnsi" w:hAnsiTheme="minorHAnsi" w:cs="Arial"/>
          <w:sz w:val="24"/>
          <w:szCs w:val="24"/>
        </w:rPr>
      </w:pPr>
      <w:bookmarkStart w:id="3" w:name="_Toc536609201"/>
      <w:r w:rsidRPr="00E542BB">
        <w:rPr>
          <w:rFonts w:asciiTheme="minorHAnsi" w:hAnsiTheme="minorHAnsi" w:cs="Arial"/>
          <w:sz w:val="24"/>
          <w:szCs w:val="24"/>
        </w:rPr>
        <w:t>Iniciativas adicionales</w:t>
      </w:r>
      <w:bookmarkEnd w:id="3"/>
    </w:p>
    <w:p w:rsidR="00E542BB" w:rsidRPr="00E542BB" w:rsidRDefault="00E542BB" w:rsidP="00E542BB">
      <w:pPr>
        <w:spacing w:line="240" w:lineRule="auto"/>
        <w:rPr>
          <w:rFonts w:cs="Arial"/>
          <w:color w:val="FF0000"/>
          <w:szCs w:val="24"/>
          <w:highlight w:val="green"/>
        </w:rPr>
      </w:pPr>
    </w:p>
    <w:p w:rsidR="00E542BB" w:rsidRPr="00E542BB" w:rsidRDefault="00E542BB" w:rsidP="00E542BB">
      <w:pPr>
        <w:jc w:val="both"/>
      </w:pPr>
      <w:r w:rsidRPr="00E542BB">
        <w:rPr>
          <w:rFonts w:cs="Arial"/>
          <w:szCs w:val="24"/>
        </w:rPr>
        <w:t xml:space="preserve">Como iniciativa adicional la AGR, se continuará con las rendiciones de cuentas a través de las gerencias seccionales, como manera de lograr mayor cercanía </w:t>
      </w:r>
      <w:bookmarkStart w:id="4" w:name="_GoBack"/>
      <w:bookmarkEnd w:id="4"/>
      <w:r w:rsidRPr="00E542BB">
        <w:rPr>
          <w:rFonts w:cs="Arial"/>
          <w:szCs w:val="24"/>
        </w:rPr>
        <w:t>con los  territorios.</w:t>
      </w:r>
    </w:p>
    <w:p w:rsidR="00F545D4" w:rsidRPr="00E542BB" w:rsidRDefault="00F545D4"/>
    <w:sectPr w:rsidR="00F545D4" w:rsidRPr="00E542BB" w:rsidSect="00F545D4">
      <w:headerReference w:type="even" r:id="rId11"/>
      <w:headerReference w:type="default" r:id="rId12"/>
      <w:headerReference w:type="first" r:id="rId13"/>
      <w:pgSz w:w="12240" w:h="15840" w:code="13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45B" w:rsidRDefault="000B045B" w:rsidP="00F545D4">
      <w:pPr>
        <w:spacing w:after="0" w:line="240" w:lineRule="auto"/>
      </w:pPr>
      <w:r>
        <w:separator/>
      </w:r>
    </w:p>
  </w:endnote>
  <w:endnote w:type="continuationSeparator" w:id="0">
    <w:p w:rsidR="000B045B" w:rsidRDefault="000B045B" w:rsidP="00F5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45B" w:rsidRDefault="000B045B" w:rsidP="00F545D4">
      <w:pPr>
        <w:spacing w:after="0" w:line="240" w:lineRule="auto"/>
      </w:pPr>
      <w:r>
        <w:separator/>
      </w:r>
    </w:p>
  </w:footnote>
  <w:footnote w:type="continuationSeparator" w:id="0">
    <w:p w:rsidR="000B045B" w:rsidRDefault="000B045B" w:rsidP="00F545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0B045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5" o:spid="_x0000_s2050" type="#_x0000_t75" style="position:absolute;margin-left:0;margin-top:0;width:612pt;height:11in;z-index:-251657216;mso-position-horizontal:center;mso-position-horizontal-relative:margin;mso-position-vertical:center;mso-position-vertical-relative:margin" o:allowincell="f">
          <v:imagedata r:id="rId1" o:title="AGRev-PAAC2019-FondoCuerp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0B045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6" o:spid="_x0000_s2051" type="#_x0000_t75" style="position:absolute;margin-left:-81pt;margin-top:-71.45pt;width:621.85pt;height:11in;z-index:-251656192;mso-position-horizontal-relative:margin;mso-position-vertical-relative:margin" o:allowincell="f">
          <v:imagedata r:id="rId1" o:title="AGRev-PAAC2019-FondoCuerp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5D4" w:rsidRDefault="000B045B">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709344" o:spid="_x0000_s2049" type="#_x0000_t75" style="position:absolute;margin-left:0;margin-top:0;width:612pt;height:11in;z-index:-251658240;mso-position-horizontal:center;mso-position-horizontal-relative:margin;mso-position-vertical:center;mso-position-vertical-relative:margin" o:allowincell="f">
          <v:imagedata r:id="rId1" o:title="AGRev-PAAC2019-FondoCuerp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6.7pt;height:16.7pt" o:bullet="t">
        <v:imagedata r:id="rId1" o:title="auditoria daniel"/>
      </v:shape>
    </w:pict>
  </w:numPicBullet>
  <w:abstractNum w:abstractNumId="0" w15:restartNumberingAfterBreak="0">
    <w:nsid w:val="30196050"/>
    <w:multiLevelType w:val="hybridMultilevel"/>
    <w:tmpl w:val="1366AD4E"/>
    <w:lvl w:ilvl="0" w:tplc="D90C3D1C">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4A07077"/>
    <w:multiLevelType w:val="hybridMultilevel"/>
    <w:tmpl w:val="17B4B8F0"/>
    <w:lvl w:ilvl="0" w:tplc="D90C3D1C">
      <w:start w:val="1"/>
      <w:numFmt w:val="bullet"/>
      <w:lvlText w:val=""/>
      <w:lvlPicBulletId w:val="0"/>
      <w:lvlJc w:val="left"/>
      <w:pPr>
        <w:ind w:left="502" w:hanging="360"/>
      </w:pPr>
      <w:rPr>
        <w:rFonts w:ascii="Symbol" w:hAnsi="Symbol" w:hint="default"/>
        <w:color w:val="auto"/>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 w15:restartNumberingAfterBreak="0">
    <w:nsid w:val="6FB30792"/>
    <w:multiLevelType w:val="hybridMultilevel"/>
    <w:tmpl w:val="0EB0B19A"/>
    <w:lvl w:ilvl="0" w:tplc="D90C3D1C">
      <w:start w:val="1"/>
      <w:numFmt w:val="bullet"/>
      <w:lvlText w:val=""/>
      <w:lvlPicBulletId w:val="0"/>
      <w:lvlJc w:val="left"/>
      <w:pPr>
        <w:ind w:left="786"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4"/>
    <w:rsid w:val="000B045B"/>
    <w:rsid w:val="002709EA"/>
    <w:rsid w:val="00282EBE"/>
    <w:rsid w:val="00455F59"/>
    <w:rsid w:val="00535B8C"/>
    <w:rsid w:val="005C7366"/>
    <w:rsid w:val="006C0140"/>
    <w:rsid w:val="006C58DA"/>
    <w:rsid w:val="009C3C52"/>
    <w:rsid w:val="00B33E50"/>
    <w:rsid w:val="00BD471F"/>
    <w:rsid w:val="00C73507"/>
    <w:rsid w:val="00CD5719"/>
    <w:rsid w:val="00CF7E8D"/>
    <w:rsid w:val="00D06018"/>
    <w:rsid w:val="00DB2C6B"/>
    <w:rsid w:val="00E542BB"/>
    <w:rsid w:val="00EF1354"/>
    <w:rsid w:val="00F101D5"/>
    <w:rsid w:val="00F545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F1D31B2F-95D1-4395-83FF-3D9D54E4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C0140"/>
    <w:pPr>
      <w:keepNext/>
      <w:keepLines/>
      <w:spacing w:before="480" w:after="0"/>
      <w:outlineLvl w:val="0"/>
    </w:pPr>
    <w:rPr>
      <w:rFonts w:ascii="Arial" w:eastAsiaTheme="majorEastAsia" w:hAnsi="Arial" w:cstheme="majorBidi"/>
      <w:b/>
      <w:bCs/>
      <w:sz w:val="28"/>
      <w:szCs w:val="28"/>
    </w:rPr>
  </w:style>
  <w:style w:type="paragraph" w:styleId="Ttulo2">
    <w:name w:val="heading 2"/>
    <w:basedOn w:val="Normal"/>
    <w:next w:val="Normal"/>
    <w:link w:val="Ttulo2Car"/>
    <w:uiPriority w:val="9"/>
    <w:semiHidden/>
    <w:unhideWhenUsed/>
    <w:qFormat/>
    <w:rsid w:val="00E542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5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5D4"/>
  </w:style>
  <w:style w:type="paragraph" w:styleId="Piedepgina">
    <w:name w:val="footer"/>
    <w:basedOn w:val="Normal"/>
    <w:link w:val="PiedepginaCar"/>
    <w:uiPriority w:val="99"/>
    <w:unhideWhenUsed/>
    <w:rsid w:val="00F545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5D4"/>
  </w:style>
  <w:style w:type="character" w:customStyle="1" w:styleId="Ttulo1Car">
    <w:name w:val="Título 1 Car"/>
    <w:basedOn w:val="Fuentedeprrafopredeter"/>
    <w:link w:val="Ttulo1"/>
    <w:uiPriority w:val="9"/>
    <w:rsid w:val="006C0140"/>
    <w:rPr>
      <w:rFonts w:ascii="Arial" w:eastAsiaTheme="majorEastAsia" w:hAnsi="Arial" w:cstheme="majorBidi"/>
      <w:b/>
      <w:bCs/>
      <w:sz w:val="28"/>
      <w:szCs w:val="28"/>
    </w:rPr>
  </w:style>
  <w:style w:type="paragraph" w:styleId="Prrafodelista">
    <w:name w:val="List Paragraph"/>
    <w:basedOn w:val="Normal"/>
    <w:uiPriority w:val="34"/>
    <w:qFormat/>
    <w:rsid w:val="006C0140"/>
    <w:pPr>
      <w:ind w:left="720"/>
      <w:contextualSpacing/>
    </w:pPr>
    <w:rPr>
      <w:rFonts w:ascii="Arial" w:hAnsi="Arial"/>
      <w:sz w:val="24"/>
    </w:rPr>
  </w:style>
  <w:style w:type="paragraph" w:styleId="Sinespaciado">
    <w:name w:val="No Spacing"/>
    <w:uiPriority w:val="1"/>
    <w:qFormat/>
    <w:rsid w:val="006C0140"/>
    <w:pPr>
      <w:spacing w:after="0" w:line="240" w:lineRule="auto"/>
    </w:pPr>
  </w:style>
  <w:style w:type="character" w:customStyle="1" w:styleId="Ttulo2Car">
    <w:name w:val="Título 2 Car"/>
    <w:basedOn w:val="Fuentedeprrafopredeter"/>
    <w:link w:val="Ttulo2"/>
    <w:uiPriority w:val="9"/>
    <w:semiHidden/>
    <w:rsid w:val="00E542BB"/>
    <w:rPr>
      <w:rFonts w:asciiTheme="majorHAnsi" w:eastAsiaTheme="majorEastAsia" w:hAnsiTheme="majorHAnsi" w:cstheme="majorBidi"/>
      <w:color w:val="365F91" w:themeColor="accent1" w:themeShade="BF"/>
      <w:sz w:val="26"/>
      <w:szCs w:val="26"/>
    </w:rPr>
  </w:style>
  <w:style w:type="table" w:styleId="Sombreadoclaro">
    <w:name w:val="Light Shading"/>
    <w:basedOn w:val="Tablanormal"/>
    <w:uiPriority w:val="60"/>
    <w:rsid w:val="00E542BB"/>
    <w:pPr>
      <w:spacing w:after="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www.auditoria.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6793C94AEC757046871B08D7C4D9754E" ma:contentTypeVersion="1" ma:contentTypeDescription="Crear nuevo documento." ma:contentTypeScope="" ma:versionID="d0d28ebc6a00d52b433cfd7e0425a7e0">
  <xsd:schema xmlns:xsd="http://www.w3.org/2001/XMLSchema" xmlns:xs="http://www.w3.org/2001/XMLSchema" xmlns:p="http://schemas.microsoft.com/office/2006/metadata/properties" xmlns:ns2="cddb4735-0515-4250-8fee-f787ed4a2be0" targetNamespace="http://schemas.microsoft.com/office/2006/metadata/properties" ma:root="true" ma:fieldsID="1b188628f7f96ec8a3071e3600446770" ns2:_="">
    <xsd:import namespace="cddb4735-0515-4250-8fee-f787ed4a2be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b4735-0515-4250-8fee-f787ed4a2be0"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cddb4735-0515-4250-8fee-f787ed4a2be0">WPTX3CFAHZYA-7-1988</_dlc_DocId>
    <_dlc_DocIdUrl xmlns="cddb4735-0515-4250-8fee-f787ed4a2be0">
      <Url>http://www.auditoria.gov.co/_layouts/15/DocIdRedir.aspx?ID=WPTX3CFAHZYA-7-1988</Url>
      <Description>WPTX3CFAHZYA-7-1988</Description>
    </_dlc_DocIdUrl>
  </documentManagement>
</p:properties>
</file>

<file path=customXml/itemProps1.xml><?xml version="1.0" encoding="utf-8"?>
<ds:datastoreItem xmlns:ds="http://schemas.openxmlformats.org/officeDocument/2006/customXml" ds:itemID="{EADDD7B4-DF5D-4137-B128-A3201876AA1A}"/>
</file>

<file path=customXml/itemProps2.xml><?xml version="1.0" encoding="utf-8"?>
<ds:datastoreItem xmlns:ds="http://schemas.openxmlformats.org/officeDocument/2006/customXml" ds:itemID="{4924DE58-68B4-4B61-A5C7-FF350B35D6AB}"/>
</file>

<file path=customXml/itemProps3.xml><?xml version="1.0" encoding="utf-8"?>
<ds:datastoreItem xmlns:ds="http://schemas.openxmlformats.org/officeDocument/2006/customXml" ds:itemID="{BEE275F8-CA56-4FCB-98F9-4E4439D596D5}"/>
</file>

<file path=customXml/itemProps4.xml><?xml version="1.0" encoding="utf-8"?>
<ds:datastoreItem xmlns:ds="http://schemas.openxmlformats.org/officeDocument/2006/customXml" ds:itemID="{384C1008-1B4F-4630-98BE-70008031BE86}"/>
</file>

<file path=customXml/itemProps5.xml><?xml version="1.0" encoding="utf-8"?>
<ds:datastoreItem xmlns:ds="http://schemas.openxmlformats.org/officeDocument/2006/customXml" ds:itemID="{EA734AE1-36CE-49AD-ACCE-28C9695A323D}"/>
</file>

<file path=docProps/app.xml><?xml version="1.0" encoding="utf-8"?>
<Properties xmlns="http://schemas.openxmlformats.org/officeDocument/2006/extended-properties" xmlns:vt="http://schemas.openxmlformats.org/officeDocument/2006/docPropsVTypes">
  <Template>Normal</Template>
  <TotalTime>6</TotalTime>
  <Pages>3</Pages>
  <Words>713</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Jose Rolando Sarmiento Perez</cp:lastModifiedBy>
  <cp:revision>3</cp:revision>
  <dcterms:created xsi:type="dcterms:W3CDTF">2019-02-05T18:14:00Z</dcterms:created>
  <dcterms:modified xsi:type="dcterms:W3CDTF">2019-02-05T18:20:00Z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0x0101006793C94AEC757046871B08D7C4D9754E</vt:lpwstr>
  </property>
  <property fmtid="{D5CDD505-2E9C-101B-9397-08002B2CF9AE}" pid="3" name="_dlc_DocIdItemGuid">
    <vt:lpwstr>be8f9445-968b-469f-a364-64c28166b474</vt:lpwstr>
  </property>
</Properties>
</file>